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0B6C21">
      <w:pPr>
        <w:autoSpaceDE w:val="0"/>
        <w:autoSpaceDN w:val="0"/>
        <w:adjustRightInd w:val="0"/>
        <w:spacing w:line="312" w:lineRule="auto"/>
        <w:jc w:val="center"/>
        <w:rPr>
          <w:rFonts w:hint="eastAsia" w:ascii="宋体" w:hAnsi="宋体" w:cs="宋体"/>
          <w:b/>
          <w:sz w:val="36"/>
          <w:szCs w:val="36"/>
          <w:highlight w:val="yellow"/>
        </w:rPr>
      </w:pPr>
    </w:p>
    <w:p w14:paraId="5E403263">
      <w:pPr>
        <w:autoSpaceDE w:val="0"/>
        <w:autoSpaceDN w:val="0"/>
        <w:adjustRightInd w:val="0"/>
        <w:spacing w:line="312" w:lineRule="auto"/>
        <w:jc w:val="center"/>
        <w:rPr>
          <w:rFonts w:hint="eastAsia" w:ascii="宋体" w:hAnsi="宋体" w:cs="宋体"/>
          <w:b/>
          <w:sz w:val="36"/>
          <w:szCs w:val="36"/>
          <w:highlight w:val="yellow"/>
        </w:rPr>
      </w:pPr>
    </w:p>
    <w:p w14:paraId="5FD9D84E">
      <w:pPr>
        <w:autoSpaceDE w:val="0"/>
        <w:autoSpaceDN w:val="0"/>
        <w:adjustRightInd w:val="0"/>
        <w:spacing w:line="312" w:lineRule="auto"/>
        <w:jc w:val="center"/>
        <w:rPr>
          <w:rFonts w:hint="eastAsia" w:ascii="宋体" w:hAnsi="宋体" w:cs="宋体"/>
          <w:b/>
          <w:spacing w:val="-20"/>
          <w:sz w:val="36"/>
          <w:szCs w:val="36"/>
        </w:rPr>
      </w:pPr>
      <w:r>
        <w:rPr>
          <w:rFonts w:hint="eastAsia" w:ascii="宋体" w:hAnsi="宋体" w:cs="宋体"/>
          <w:b/>
          <w:spacing w:val="-6"/>
          <w:sz w:val="36"/>
          <w:szCs w:val="36"/>
        </w:rPr>
        <w:t>启东市工人电影院影厅设备采购及安装项目</w:t>
      </w:r>
    </w:p>
    <w:p w14:paraId="434C0818">
      <w:pPr>
        <w:autoSpaceDE w:val="0"/>
        <w:autoSpaceDN w:val="0"/>
        <w:adjustRightInd w:val="0"/>
        <w:spacing w:line="312" w:lineRule="auto"/>
        <w:jc w:val="center"/>
        <w:rPr>
          <w:rFonts w:hint="eastAsia" w:ascii="宋体" w:hAnsi="宋体" w:cs="宋体"/>
          <w:b/>
          <w:sz w:val="44"/>
          <w:szCs w:val="44"/>
          <w:lang w:val="zh-CN"/>
        </w:rPr>
      </w:pPr>
      <w:r>
        <w:rPr>
          <w:rFonts w:hint="eastAsia" w:ascii="宋体" w:hAnsi="宋体" w:cs="宋体"/>
          <w:b/>
          <w:bCs/>
          <w:sz w:val="100"/>
          <w:szCs w:val="100"/>
        </w:rPr>
        <w:t>分散</w:t>
      </w:r>
      <w:r>
        <w:rPr>
          <w:rFonts w:hint="eastAsia" w:ascii="宋体" w:hAnsi="宋体" w:cs="宋体"/>
          <w:b/>
          <w:bCs/>
          <w:sz w:val="100"/>
          <w:szCs w:val="100"/>
          <w:lang w:val="zh-CN"/>
        </w:rPr>
        <w:t>采购询价文件</w:t>
      </w:r>
    </w:p>
    <w:p w14:paraId="56DF5FCD">
      <w:pPr>
        <w:pStyle w:val="6"/>
      </w:pPr>
    </w:p>
    <w:p w14:paraId="526B2891">
      <w:pPr>
        <w:pStyle w:val="6"/>
        <w:ind w:firstLine="640" w:firstLineChars="200"/>
        <w:jc w:val="both"/>
        <w:rPr>
          <w:highlight w:val="none"/>
        </w:rPr>
      </w:pPr>
      <w:r>
        <w:rPr>
          <w:rFonts w:hint="eastAsia"/>
          <w:highlight w:val="none"/>
          <w:lang w:val="en-US" w:eastAsia="zh-CN"/>
        </w:rPr>
        <w:t>项目</w:t>
      </w:r>
      <w:r>
        <w:rPr>
          <w:rFonts w:hint="eastAsia"/>
          <w:highlight w:val="none"/>
        </w:rPr>
        <w:t>编号：JSZC-320681-SHXP-X2025-0027</w:t>
      </w:r>
    </w:p>
    <w:p w14:paraId="74002E7F">
      <w:pPr>
        <w:pStyle w:val="2"/>
        <w:rPr>
          <w:rFonts w:hint="eastAsia" w:ascii="宋体" w:hAnsi="宋体" w:cs="宋体"/>
          <w:lang w:val="zh-CN"/>
        </w:rPr>
      </w:pPr>
    </w:p>
    <w:p w14:paraId="4604A696">
      <w:pPr>
        <w:pStyle w:val="2"/>
        <w:rPr>
          <w:rFonts w:hint="eastAsia" w:ascii="宋体" w:hAnsi="宋体" w:cs="宋体"/>
          <w:lang w:val="zh-CN"/>
        </w:rPr>
      </w:pPr>
    </w:p>
    <w:p w14:paraId="3B77AA6D">
      <w:pPr>
        <w:pStyle w:val="2"/>
        <w:rPr>
          <w:rFonts w:hint="eastAsia" w:ascii="宋体" w:hAnsi="宋体" w:cs="宋体"/>
          <w:lang w:val="zh-CN"/>
        </w:rPr>
      </w:pPr>
    </w:p>
    <w:p w14:paraId="78D1DA95">
      <w:pPr>
        <w:pStyle w:val="2"/>
        <w:rPr>
          <w:rFonts w:hint="eastAsia" w:ascii="宋体" w:hAnsi="宋体" w:cs="宋体"/>
          <w:lang w:val="zh-CN"/>
        </w:rPr>
      </w:pPr>
    </w:p>
    <w:p w14:paraId="25BB6ECE">
      <w:pPr>
        <w:pStyle w:val="2"/>
        <w:widowControl/>
        <w:spacing w:line="312" w:lineRule="auto"/>
        <w:rPr>
          <w:rFonts w:hint="eastAsia" w:ascii="宋体" w:hAnsi="宋体" w:cs="宋体"/>
        </w:rPr>
      </w:pPr>
    </w:p>
    <w:p w14:paraId="2296A53C">
      <w:pPr>
        <w:autoSpaceDE w:val="0"/>
        <w:autoSpaceDN w:val="0"/>
        <w:adjustRightInd w:val="0"/>
        <w:spacing w:line="312" w:lineRule="auto"/>
        <w:ind w:firstLine="625" w:firstLineChars="298"/>
        <w:jc w:val="left"/>
        <w:rPr>
          <w:rFonts w:hint="eastAsia" w:ascii="宋体" w:hAnsi="宋体" w:cs="宋体"/>
          <w:szCs w:val="21"/>
        </w:rPr>
      </w:pPr>
    </w:p>
    <w:p w14:paraId="084DC4D1">
      <w:pPr>
        <w:autoSpaceDE w:val="0"/>
        <w:autoSpaceDN w:val="0"/>
        <w:adjustRightInd w:val="0"/>
        <w:spacing w:line="312" w:lineRule="auto"/>
        <w:ind w:firstLine="625" w:firstLineChars="298"/>
        <w:jc w:val="left"/>
        <w:rPr>
          <w:rFonts w:hint="eastAsia" w:ascii="宋体" w:hAnsi="宋体" w:cs="宋体"/>
          <w:szCs w:val="21"/>
        </w:rPr>
      </w:pPr>
    </w:p>
    <w:p w14:paraId="2A844D7C">
      <w:pPr>
        <w:autoSpaceDE w:val="0"/>
        <w:autoSpaceDN w:val="0"/>
        <w:adjustRightInd w:val="0"/>
        <w:spacing w:line="312" w:lineRule="auto"/>
        <w:ind w:firstLine="625" w:firstLineChars="298"/>
        <w:jc w:val="left"/>
        <w:rPr>
          <w:rFonts w:hint="eastAsia" w:ascii="宋体" w:hAnsi="宋体" w:cs="宋体"/>
          <w:szCs w:val="21"/>
        </w:rPr>
      </w:pPr>
    </w:p>
    <w:p w14:paraId="309D536F">
      <w:pPr>
        <w:pStyle w:val="2"/>
        <w:rPr>
          <w:rFonts w:hint="eastAsia" w:ascii="宋体" w:hAnsi="宋体" w:cs="宋体"/>
          <w:b/>
          <w:bCs/>
          <w:sz w:val="36"/>
          <w:szCs w:val="36"/>
          <w:lang w:val="zh-CN"/>
        </w:rPr>
      </w:pPr>
    </w:p>
    <w:p w14:paraId="1E968472">
      <w:pPr>
        <w:rPr>
          <w:rFonts w:hint="eastAsia" w:ascii="宋体" w:hAnsi="宋体" w:cs="宋体"/>
          <w:b/>
          <w:bCs/>
          <w:sz w:val="36"/>
          <w:szCs w:val="36"/>
          <w:lang w:val="zh-CN"/>
        </w:rPr>
      </w:pPr>
    </w:p>
    <w:p w14:paraId="0F63C8F5">
      <w:pPr>
        <w:pStyle w:val="2"/>
        <w:rPr>
          <w:rFonts w:hint="eastAsia" w:ascii="宋体" w:hAnsi="宋体" w:cs="宋体"/>
          <w:lang w:val="zh-CN"/>
        </w:rPr>
      </w:pPr>
    </w:p>
    <w:p w14:paraId="022113AF">
      <w:pPr>
        <w:pStyle w:val="2"/>
        <w:rPr>
          <w:rFonts w:hint="eastAsia" w:ascii="宋体" w:hAnsi="宋体" w:cs="宋体"/>
          <w:lang w:val="zh-CN"/>
        </w:rPr>
      </w:pPr>
    </w:p>
    <w:p w14:paraId="49FCC849">
      <w:pPr>
        <w:rPr>
          <w:rFonts w:hint="eastAsia" w:ascii="宋体" w:hAnsi="宋体" w:cs="宋体"/>
          <w:lang w:val="zh-CN"/>
        </w:rPr>
      </w:pPr>
    </w:p>
    <w:p w14:paraId="019C7CB5">
      <w:pPr>
        <w:pStyle w:val="39"/>
        <w:ind w:firstLine="0"/>
        <w:rPr>
          <w:rFonts w:hint="eastAsia" w:ascii="宋体" w:hAnsi="宋体" w:cs="宋体"/>
          <w:b/>
          <w:bCs/>
          <w:sz w:val="36"/>
          <w:szCs w:val="36"/>
        </w:rPr>
      </w:pPr>
      <w:r>
        <w:rPr>
          <w:rFonts w:hint="eastAsia" w:ascii="宋体" w:hAnsi="宋体" w:cs="宋体"/>
          <w:b/>
          <w:bCs/>
          <w:sz w:val="36"/>
          <w:szCs w:val="36"/>
        </w:rPr>
        <w:t>启东市总工会</w:t>
      </w:r>
    </w:p>
    <w:p w14:paraId="6B68CA3F">
      <w:pPr>
        <w:pStyle w:val="39"/>
        <w:ind w:firstLine="0"/>
        <w:rPr>
          <w:rFonts w:hint="eastAsia" w:ascii="宋体" w:hAnsi="宋体" w:cs="宋体"/>
          <w:b/>
          <w:bCs/>
          <w:sz w:val="32"/>
        </w:rPr>
      </w:pPr>
      <w:r>
        <w:rPr>
          <w:rFonts w:hint="eastAsia" w:ascii="宋体" w:hAnsi="宋体" w:cs="宋体"/>
          <w:b/>
          <w:bCs/>
          <w:sz w:val="32"/>
          <w:u w:val="single"/>
        </w:rPr>
        <w:t xml:space="preserve"> 2025</w:t>
      </w:r>
      <w:r>
        <w:rPr>
          <w:rFonts w:hint="eastAsia" w:ascii="宋体" w:hAnsi="宋体" w:cs="宋体"/>
          <w:b/>
          <w:bCs/>
          <w:sz w:val="32"/>
        </w:rPr>
        <w:t>年</w:t>
      </w:r>
      <w:r>
        <w:rPr>
          <w:rFonts w:hint="eastAsia" w:ascii="宋体" w:hAnsi="宋体" w:cs="宋体"/>
          <w:b/>
          <w:bCs/>
          <w:sz w:val="32"/>
          <w:highlight w:val="none"/>
          <w:u w:val="single"/>
        </w:rPr>
        <w:t xml:space="preserve"> </w:t>
      </w:r>
      <w:r>
        <w:rPr>
          <w:rFonts w:hint="eastAsia" w:ascii="宋体" w:hAnsi="宋体" w:cs="宋体"/>
          <w:b/>
          <w:bCs/>
          <w:sz w:val="32"/>
          <w:highlight w:val="none"/>
          <w:u w:val="single"/>
          <w:lang w:val="en-US" w:eastAsia="zh-CN"/>
        </w:rPr>
        <w:t>12</w:t>
      </w:r>
      <w:r>
        <w:rPr>
          <w:rFonts w:hint="eastAsia" w:ascii="宋体" w:hAnsi="宋体" w:cs="宋体"/>
          <w:b/>
          <w:bCs/>
          <w:sz w:val="32"/>
          <w:highlight w:val="none"/>
          <w:u w:val="single"/>
        </w:rPr>
        <w:t xml:space="preserve"> </w:t>
      </w:r>
      <w:r>
        <w:rPr>
          <w:rFonts w:hint="eastAsia" w:ascii="宋体" w:hAnsi="宋体" w:cs="宋体"/>
          <w:b/>
          <w:bCs/>
          <w:sz w:val="32"/>
          <w:highlight w:val="none"/>
        </w:rPr>
        <w:t>月</w:t>
      </w:r>
      <w:r>
        <w:rPr>
          <w:rFonts w:hint="eastAsia" w:ascii="宋体" w:hAnsi="宋体" w:cs="宋体"/>
          <w:b/>
          <w:bCs/>
          <w:sz w:val="32"/>
          <w:highlight w:val="none"/>
          <w:u w:val="single"/>
        </w:rPr>
        <w:t xml:space="preserve"> </w:t>
      </w:r>
      <w:r>
        <w:rPr>
          <w:rFonts w:hint="eastAsia" w:ascii="宋体" w:hAnsi="宋体" w:cs="宋体"/>
          <w:b/>
          <w:bCs/>
          <w:sz w:val="32"/>
          <w:highlight w:val="none"/>
          <w:u w:val="single"/>
          <w:lang w:val="en-US" w:eastAsia="zh-CN"/>
        </w:rPr>
        <w:t>23</w:t>
      </w:r>
      <w:r>
        <w:rPr>
          <w:rFonts w:hint="eastAsia" w:ascii="宋体" w:hAnsi="宋体" w:cs="宋体"/>
          <w:b/>
          <w:bCs/>
          <w:sz w:val="32"/>
          <w:highlight w:val="none"/>
          <w:u w:val="single"/>
        </w:rPr>
        <w:t xml:space="preserve"> </w:t>
      </w:r>
      <w:r>
        <w:rPr>
          <w:rFonts w:hint="eastAsia" w:ascii="宋体" w:hAnsi="宋体" w:cs="宋体"/>
          <w:b/>
          <w:bCs/>
          <w:sz w:val="32"/>
          <w:highlight w:val="none"/>
        </w:rPr>
        <w:t>日</w:t>
      </w:r>
    </w:p>
    <w:p w14:paraId="2E23D052">
      <w:pPr>
        <w:adjustRightInd w:val="0"/>
        <w:snapToGrid w:val="0"/>
        <w:ind w:left="-157" w:leftChars="-75"/>
        <w:rPr>
          <w:rFonts w:hint="eastAsia" w:ascii="宋体" w:hAnsi="宋体" w:cs="宋体"/>
          <w:b/>
          <w:snapToGrid w:val="0"/>
          <w:sz w:val="28"/>
          <w:szCs w:val="28"/>
        </w:rPr>
      </w:pPr>
      <w:r>
        <w:rPr>
          <w:sz w:val="28"/>
        </w:rPr>
        <mc:AlternateContent>
          <mc:Choice Requires="wps">
            <w:drawing>
              <wp:anchor distT="0" distB="0" distL="114300" distR="114300" simplePos="0" relativeHeight="251659264" behindDoc="0" locked="0" layoutInCell="1" allowOverlap="1">
                <wp:simplePos x="0" y="0"/>
                <wp:positionH relativeFrom="column">
                  <wp:posOffset>-163830</wp:posOffset>
                </wp:positionH>
                <wp:positionV relativeFrom="paragraph">
                  <wp:posOffset>95250</wp:posOffset>
                </wp:positionV>
                <wp:extent cx="5842000" cy="0"/>
                <wp:effectExtent l="0" t="6350" r="0" b="6350"/>
                <wp:wrapNone/>
                <wp:docPr id="1" name="直接连接符 1"/>
                <wp:cNvGraphicFramePr/>
                <a:graphic xmlns:a="http://schemas.openxmlformats.org/drawingml/2006/main">
                  <a:graphicData uri="http://schemas.microsoft.com/office/word/2010/wordprocessingShape">
                    <wps:wsp>
                      <wps:cNvCnPr/>
                      <wps:spPr>
                        <a:xfrm>
                          <a:off x="951865" y="8663940"/>
                          <a:ext cx="5842000" cy="0"/>
                        </a:xfrm>
                        <a:prstGeom prst="line">
                          <a:avLst/>
                        </a:prstGeom>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2.9pt;margin-top:7.5pt;height:0pt;width:460pt;z-index:251659264;mso-width-relative:page;mso-height-relative:page;" filled="f" stroked="t" coordsize="21600,21600" o:gfxdata="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1AY1TYAAAACQEAAA8AAAAAAAAAAQAgAAAAIgAAAGRycy9kb3ducmV2LnhtbFBLAQIUABQA&#10;AAAIAIdO4kD6VXtL8AEAALwDAAAOAAAAAAAAAAEAIAAAACcBAABkcnMvZTJvRG9jLnhtbFBLBQYA&#10;AAAABgAGAFkBAACJBQAAAAA=&#10;">
                <v:fill on="f" focussize="0,0"/>
                <v:stroke weight="1pt" color="#000000" miterlimit="8" joinstyle="miter"/>
                <v:imagedata o:title=""/>
                <o:lock v:ext="edit" aspectratio="f"/>
              </v:line>
            </w:pict>
          </mc:Fallback>
        </mc:AlternateContent>
      </w:r>
    </w:p>
    <w:p w14:paraId="2EFB9B5A">
      <w:pPr>
        <w:adjustRightInd w:val="0"/>
        <w:snapToGrid w:val="0"/>
        <w:ind w:left="-157" w:leftChars="-75"/>
        <w:rPr>
          <w:rFonts w:hint="eastAsia" w:ascii="宋体" w:hAnsi="宋体" w:cs="宋体"/>
          <w:bCs/>
          <w:snapToGrid w:val="0"/>
          <w:sz w:val="32"/>
          <w:szCs w:val="32"/>
        </w:rPr>
      </w:pPr>
      <w:r>
        <w:rPr>
          <w:rFonts w:hint="eastAsia" w:ascii="宋体" w:hAnsi="宋体" w:cs="宋体"/>
          <w:b/>
          <w:snapToGrid w:val="0"/>
          <w:sz w:val="28"/>
          <w:szCs w:val="28"/>
        </w:rPr>
        <w:t>地址:</w:t>
      </w:r>
      <w:r>
        <w:rPr>
          <w:rFonts w:hint="eastAsia" w:ascii="宋体" w:hAnsi="宋体" w:cs="宋体"/>
          <w:bCs/>
          <w:sz w:val="28"/>
          <w:szCs w:val="28"/>
        </w:rPr>
        <w:t xml:space="preserve">启东市世纪大道1288号                    </w:t>
      </w:r>
      <w:r>
        <w:rPr>
          <w:rFonts w:hint="eastAsia" w:ascii="宋体" w:hAnsi="宋体" w:cs="宋体"/>
          <w:b/>
          <w:snapToGrid w:val="0"/>
          <w:sz w:val="28"/>
          <w:szCs w:val="28"/>
        </w:rPr>
        <w:t>邮政编码：</w:t>
      </w:r>
      <w:r>
        <w:rPr>
          <w:rFonts w:hint="eastAsia" w:ascii="宋体" w:hAnsi="宋体" w:cs="宋体"/>
          <w:bCs/>
          <w:snapToGrid w:val="0"/>
          <w:sz w:val="28"/>
          <w:szCs w:val="28"/>
        </w:rPr>
        <w:t xml:space="preserve">226200 </w:t>
      </w:r>
    </w:p>
    <w:p w14:paraId="0583A311">
      <w:pPr>
        <w:adjustRightInd w:val="0"/>
        <w:snapToGrid w:val="0"/>
        <w:ind w:left="-157" w:leftChars="-75" w:right="-600" w:rightChars="-286"/>
        <w:rPr>
          <w:rFonts w:hint="eastAsia" w:ascii="宋体" w:hAnsi="宋体" w:cs="宋体"/>
          <w:b/>
          <w:snapToGrid w:val="0"/>
          <w:sz w:val="32"/>
          <w:szCs w:val="32"/>
        </w:rPr>
      </w:pPr>
      <w:r>
        <w:rPr>
          <w:rFonts w:hint="eastAsia" w:ascii="宋体" w:hAnsi="宋体" w:cs="宋体"/>
          <w:b/>
          <w:snapToGrid w:val="0"/>
          <w:sz w:val="28"/>
          <w:szCs w:val="28"/>
        </w:rPr>
        <w:t>江苏政府采购网</w:t>
      </w:r>
    </w:p>
    <w:p w14:paraId="101B4019">
      <w:pPr>
        <w:tabs>
          <w:tab w:val="left" w:pos="1260"/>
        </w:tabs>
        <w:adjustRightInd w:val="0"/>
        <w:snapToGrid w:val="0"/>
        <w:spacing w:line="312" w:lineRule="auto"/>
        <w:ind w:left="-157" w:leftChars="-75" w:right="-600" w:rightChars="-286"/>
        <w:jc w:val="center"/>
        <w:rPr>
          <w:rFonts w:hint="eastAsia" w:ascii="宋体" w:hAnsi="宋体" w:cs="宋体"/>
          <w:bCs/>
          <w:spacing w:val="7"/>
          <w:kern w:val="0"/>
          <w:sz w:val="44"/>
          <w:szCs w:val="44"/>
        </w:rPr>
        <w:sectPr>
          <w:footerReference r:id="rId3" w:type="default"/>
          <w:footerReference r:id="rId4" w:type="even"/>
          <w:pgSz w:w="11915" w:h="16840"/>
          <w:pgMar w:top="1440" w:right="1757" w:bottom="1440" w:left="1757" w:header="851" w:footer="850" w:gutter="0"/>
          <w:pgNumType w:start="1"/>
          <w:cols w:space="720" w:num="1"/>
          <w:docGrid w:type="linesAndChars" w:linePitch="312" w:charSpace="0"/>
        </w:sectPr>
      </w:pPr>
    </w:p>
    <w:p w14:paraId="528B040C">
      <w:pPr>
        <w:tabs>
          <w:tab w:val="left" w:pos="1260"/>
        </w:tabs>
        <w:adjustRightInd w:val="0"/>
        <w:snapToGrid w:val="0"/>
        <w:spacing w:line="312" w:lineRule="auto"/>
        <w:ind w:left="-157" w:leftChars="-75" w:right="-600" w:rightChars="-286"/>
        <w:jc w:val="center"/>
        <w:rPr>
          <w:rFonts w:hint="eastAsia" w:ascii="宋体" w:hAnsi="宋体" w:cs="宋体"/>
          <w:bCs/>
          <w:spacing w:val="7"/>
          <w:kern w:val="0"/>
          <w:sz w:val="44"/>
          <w:szCs w:val="44"/>
        </w:rPr>
      </w:pPr>
      <w:r>
        <w:rPr>
          <w:rFonts w:hint="eastAsia" w:ascii="宋体" w:hAnsi="宋体" w:cs="宋体"/>
          <w:bCs/>
          <w:spacing w:val="7"/>
          <w:kern w:val="0"/>
          <w:sz w:val="44"/>
          <w:szCs w:val="44"/>
        </w:rPr>
        <w:t>目</w:t>
      </w:r>
      <w:r>
        <w:rPr>
          <w:rFonts w:hint="eastAsia" w:ascii="宋体" w:hAnsi="宋体" w:cs="宋体"/>
          <w:bCs/>
          <w:spacing w:val="7"/>
          <w:kern w:val="0"/>
          <w:sz w:val="44"/>
          <w:szCs w:val="44"/>
          <w:lang w:val="en-US" w:eastAsia="zh-CN"/>
        </w:rPr>
        <w:t xml:space="preserve"> </w:t>
      </w:r>
      <w:r>
        <w:rPr>
          <w:rFonts w:hint="eastAsia" w:ascii="宋体" w:hAnsi="宋体" w:cs="宋体"/>
          <w:bCs/>
          <w:spacing w:val="7"/>
          <w:kern w:val="0"/>
          <w:sz w:val="44"/>
          <w:szCs w:val="44"/>
        </w:rPr>
        <w:t>录</w:t>
      </w:r>
    </w:p>
    <w:p w14:paraId="3A272896">
      <w:pPr>
        <w:autoSpaceDE w:val="0"/>
        <w:autoSpaceDN w:val="0"/>
        <w:adjustRightInd w:val="0"/>
        <w:snapToGrid w:val="0"/>
        <w:spacing w:line="360" w:lineRule="auto"/>
        <w:rPr>
          <w:rFonts w:hint="eastAsia" w:ascii="宋体" w:hAnsi="宋体" w:cs="宋体"/>
          <w:bCs/>
          <w:spacing w:val="7"/>
          <w:kern w:val="0"/>
          <w:sz w:val="28"/>
          <w:szCs w:val="28"/>
        </w:rPr>
      </w:pPr>
    </w:p>
    <w:p w14:paraId="0B4CCF5F">
      <w:pPr>
        <w:pStyle w:val="2"/>
        <w:adjustRightInd w:val="0"/>
        <w:snapToGrid w:val="0"/>
        <w:spacing w:after="0" w:line="360" w:lineRule="auto"/>
        <w:rPr>
          <w:rFonts w:hint="eastAsia" w:ascii="宋体" w:hAnsi="宋体" w:cs="宋体"/>
        </w:rPr>
      </w:pPr>
    </w:p>
    <w:p w14:paraId="1CBC30ED">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第一部分  询价采购公告</w:t>
      </w:r>
    </w:p>
    <w:p w14:paraId="7AADBD86">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第二部分  响应须知</w:t>
      </w:r>
    </w:p>
    <w:p w14:paraId="764CBE2E">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第三部分  项目需求</w:t>
      </w:r>
    </w:p>
    <w:p w14:paraId="7928D854">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第四部分  响应文件格式</w:t>
      </w:r>
    </w:p>
    <w:p w14:paraId="2F0004D4">
      <w:pPr>
        <w:autoSpaceDE w:val="0"/>
        <w:autoSpaceDN w:val="0"/>
        <w:adjustRightInd w:val="0"/>
        <w:snapToGrid w:val="0"/>
        <w:spacing w:line="500" w:lineRule="exact"/>
        <w:jc w:val="center"/>
        <w:outlineLvl w:val="0"/>
        <w:rPr>
          <w:rFonts w:hint="eastAsia" w:ascii="宋体" w:hAnsi="宋体" w:cs="宋体"/>
          <w:sz w:val="36"/>
          <w:szCs w:val="36"/>
        </w:rPr>
      </w:pPr>
      <w:r>
        <w:rPr>
          <w:rFonts w:hint="eastAsia" w:ascii="宋体" w:hAnsi="宋体" w:cs="宋体"/>
          <w:spacing w:val="7"/>
          <w:kern w:val="0"/>
          <w:sz w:val="28"/>
          <w:szCs w:val="28"/>
          <w:highlight w:val="yellow"/>
        </w:rPr>
        <w:br w:type="page"/>
      </w:r>
      <w:bookmarkStart w:id="0" w:name="OLE_LINK6"/>
      <w:bookmarkStart w:id="1" w:name="OLE_LINK1"/>
      <w:bookmarkStart w:id="2" w:name="OLE_LINK2"/>
      <w:bookmarkStart w:id="3" w:name="OLE_LINK5"/>
      <w:bookmarkStart w:id="4" w:name="OLE_LINK3"/>
      <w:r>
        <w:rPr>
          <w:rFonts w:hint="eastAsia" w:ascii="仿宋" w:hAnsi="仿宋" w:eastAsia="仿宋" w:cs="仿宋"/>
          <w:b/>
          <w:bCs/>
          <w:sz w:val="36"/>
          <w:szCs w:val="36"/>
          <w:lang w:val="zh-CN"/>
        </w:rPr>
        <w:t>第一部分  询价采购公告</w:t>
      </w:r>
    </w:p>
    <w:p w14:paraId="2EC60BAA">
      <w:pPr>
        <w:adjustRightInd w:val="0"/>
        <w:snapToGrid w:val="0"/>
        <w:spacing w:line="48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受启东市总工会的委托，就启东市工人电影院影厅设备采购及安装项目进行询价采购，欢迎符合条件的供应商响应。</w:t>
      </w:r>
    </w:p>
    <w:p w14:paraId="7EBA39A4">
      <w:pPr>
        <w:pBdr>
          <w:top w:val="single" w:color="auto" w:sz="4" w:space="1"/>
          <w:left w:val="single" w:color="auto" w:sz="4" w:space="4"/>
          <w:bottom w:val="single" w:color="auto" w:sz="4" w:space="1"/>
          <w:right w:val="single" w:color="auto" w:sz="4" w:space="4"/>
        </w:pBd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项目概况</w:t>
      </w:r>
    </w:p>
    <w:p w14:paraId="49425452">
      <w:pPr>
        <w:pBdr>
          <w:top w:val="single" w:color="auto" w:sz="4" w:space="1"/>
          <w:left w:val="single" w:color="auto" w:sz="4" w:space="4"/>
          <w:bottom w:val="single" w:color="auto" w:sz="4" w:space="1"/>
          <w:right w:val="single" w:color="auto" w:sz="4" w:space="4"/>
        </w:pBd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启东市工人电影院影厅设备采购及安装项目的潜在响应供应商应在江苏政府采购网获取采购文件，并于2025年</w:t>
      </w:r>
      <w:r>
        <w:rPr>
          <w:rFonts w:hint="eastAsia" w:ascii="仿宋" w:hAnsi="仿宋" w:eastAsia="仿宋" w:cs="仿宋"/>
          <w:sz w:val="28"/>
          <w:szCs w:val="28"/>
          <w:highlight w:val="none"/>
          <w:lang w:val="en-US" w:eastAsia="zh-CN"/>
        </w:rPr>
        <w:t>12</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29</w:t>
      </w:r>
      <w:r>
        <w:rPr>
          <w:rFonts w:hint="eastAsia" w:ascii="仿宋" w:hAnsi="仿宋" w:eastAsia="仿宋" w:cs="仿宋"/>
          <w:sz w:val="28"/>
          <w:szCs w:val="28"/>
          <w:highlight w:val="none"/>
        </w:rPr>
        <w:t>日</w:t>
      </w:r>
      <w:r>
        <w:rPr>
          <w:rFonts w:hint="eastAsia" w:ascii="仿宋" w:hAnsi="仿宋" w:eastAsia="仿宋" w:cs="仿宋"/>
          <w:sz w:val="28"/>
          <w:szCs w:val="28"/>
        </w:rPr>
        <w:t>09点00分（北京时间）前递交响应文件。</w:t>
      </w:r>
    </w:p>
    <w:p w14:paraId="10A99E7D">
      <w:pPr>
        <w:adjustRightInd w:val="0"/>
        <w:snapToGrid w:val="0"/>
        <w:spacing w:line="480" w:lineRule="exact"/>
        <w:ind w:firstLine="560" w:firstLineChars="200"/>
        <w:rPr>
          <w:rFonts w:hint="eastAsia" w:ascii="仿宋" w:hAnsi="仿宋" w:eastAsia="仿宋" w:cs="仿宋"/>
          <w:b/>
          <w:bCs/>
          <w:sz w:val="28"/>
          <w:szCs w:val="28"/>
        </w:rPr>
      </w:pPr>
      <w:bookmarkStart w:id="5" w:name="_Toc82505652"/>
      <w:r>
        <w:rPr>
          <w:rFonts w:hint="eastAsia" w:ascii="仿宋" w:hAnsi="仿宋" w:eastAsia="仿宋" w:cs="仿宋"/>
          <w:b/>
          <w:bCs/>
          <w:sz w:val="28"/>
          <w:szCs w:val="28"/>
        </w:rPr>
        <w:t>一、项目基本情况</w:t>
      </w:r>
      <w:bookmarkEnd w:id="5"/>
    </w:p>
    <w:p w14:paraId="5631ECF0">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项目编号：JSZC-320681-SHXP-X2025-0027</w:t>
      </w:r>
    </w:p>
    <w:p w14:paraId="545B909F">
      <w:pPr>
        <w:adjustRightInd w:val="0"/>
        <w:snapToGrid w:val="0"/>
        <w:spacing w:line="480" w:lineRule="exact"/>
        <w:ind w:firstLine="560" w:firstLineChars="200"/>
        <w:rPr>
          <w:rFonts w:hint="eastAsia" w:ascii="仿宋" w:hAnsi="仿宋" w:eastAsia="仿宋" w:cs="仿宋"/>
          <w:spacing w:val="-20"/>
          <w:sz w:val="28"/>
          <w:szCs w:val="28"/>
        </w:rPr>
      </w:pPr>
      <w:r>
        <w:rPr>
          <w:rFonts w:hint="eastAsia" w:ascii="仿宋" w:hAnsi="仿宋" w:eastAsia="仿宋" w:cs="仿宋"/>
          <w:sz w:val="28"/>
          <w:szCs w:val="28"/>
        </w:rPr>
        <w:t>项目名称：</w:t>
      </w:r>
      <w:r>
        <w:rPr>
          <w:rFonts w:hint="eastAsia" w:ascii="仿宋" w:hAnsi="仿宋" w:eastAsia="仿宋" w:cs="仿宋"/>
          <w:spacing w:val="-6"/>
          <w:sz w:val="28"/>
          <w:szCs w:val="28"/>
        </w:rPr>
        <w:t>启东市工人电影院影厅设备采购及安装项目</w:t>
      </w:r>
    </w:p>
    <w:p w14:paraId="57C81102">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项目类型：货物</w:t>
      </w:r>
    </w:p>
    <w:p w14:paraId="31414D1F">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所属行业：工业</w:t>
      </w:r>
    </w:p>
    <w:p w14:paraId="31387E7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highlight w:val="none"/>
        </w:rPr>
        <w:t>98万元。</w:t>
      </w:r>
    </w:p>
    <w:p w14:paraId="5F58A41F">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最高限价：9</w:t>
      </w:r>
      <w:r>
        <w:rPr>
          <w:rFonts w:hint="eastAsia" w:ascii="仿宋" w:hAnsi="仿宋" w:eastAsia="仿宋" w:cs="仿宋"/>
          <w:sz w:val="28"/>
          <w:szCs w:val="28"/>
          <w:highlight w:val="none"/>
        </w:rPr>
        <w:t>8万元。</w:t>
      </w:r>
    </w:p>
    <w:p w14:paraId="669D33FE">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采购需求：详见</w:t>
      </w:r>
      <w:r>
        <w:rPr>
          <w:rFonts w:hint="eastAsia" w:ascii="仿宋" w:hAnsi="仿宋" w:eastAsia="仿宋" w:cs="仿宋"/>
          <w:sz w:val="28"/>
          <w:szCs w:val="28"/>
          <w:highlight w:val="none"/>
          <w:lang w:val="en-US" w:eastAsia="zh-CN"/>
        </w:rPr>
        <w:t>询价</w:t>
      </w:r>
      <w:r>
        <w:rPr>
          <w:rFonts w:hint="eastAsia" w:ascii="仿宋" w:hAnsi="仿宋" w:eastAsia="仿宋" w:cs="仿宋"/>
          <w:sz w:val="28"/>
          <w:szCs w:val="28"/>
          <w:highlight w:val="none"/>
        </w:rPr>
        <w:t>文件，请仔细研究。</w:t>
      </w:r>
    </w:p>
    <w:p w14:paraId="37E08558">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合同履行期限：详见</w:t>
      </w:r>
      <w:r>
        <w:rPr>
          <w:rFonts w:hint="eastAsia" w:ascii="仿宋" w:hAnsi="仿宋" w:eastAsia="仿宋" w:cs="仿宋"/>
          <w:sz w:val="28"/>
          <w:szCs w:val="28"/>
          <w:highlight w:val="none"/>
          <w:lang w:val="en-US" w:eastAsia="zh-CN"/>
        </w:rPr>
        <w:t>询价</w:t>
      </w:r>
      <w:r>
        <w:rPr>
          <w:rFonts w:hint="eastAsia" w:ascii="仿宋" w:hAnsi="仿宋" w:eastAsia="仿宋" w:cs="仿宋"/>
          <w:sz w:val="28"/>
          <w:szCs w:val="28"/>
          <w:highlight w:val="none"/>
        </w:rPr>
        <w:t>文件第三部分项目需求。</w:t>
      </w:r>
    </w:p>
    <w:p w14:paraId="3B68544A">
      <w:pPr>
        <w:adjustRightInd w:val="0"/>
        <w:snapToGrid w:val="0"/>
        <w:spacing w:line="480" w:lineRule="exact"/>
        <w:ind w:firstLine="560" w:firstLineChars="200"/>
        <w:rPr>
          <w:rFonts w:hint="eastAsia" w:ascii="仿宋" w:hAnsi="仿宋" w:eastAsia="仿宋" w:cs="仿宋"/>
          <w:sz w:val="28"/>
          <w:szCs w:val="28"/>
          <w:highlight w:val="none"/>
        </w:rPr>
      </w:pPr>
      <w:bookmarkStart w:id="6" w:name="_Toc82505653"/>
      <w:r>
        <w:rPr>
          <w:rFonts w:hint="eastAsia" w:ascii="仿宋" w:hAnsi="仿宋" w:eastAsia="仿宋" w:cs="仿宋"/>
          <w:sz w:val="28"/>
          <w:szCs w:val="28"/>
          <w:highlight w:val="none"/>
        </w:rPr>
        <w:t>本项目不接受联合体投标。</w:t>
      </w:r>
    </w:p>
    <w:p w14:paraId="2C767420">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本项目不接受分包。</w:t>
      </w:r>
    </w:p>
    <w:p w14:paraId="5751AFEA">
      <w:pPr>
        <w:adjustRightInd w:val="0"/>
        <w:snapToGrid w:val="0"/>
        <w:spacing w:line="48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二、响应供应商的资格要求：</w:t>
      </w:r>
      <w:bookmarkEnd w:id="6"/>
    </w:p>
    <w:p w14:paraId="73D67800">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1.满足《中华人民共和国政府采购法》第二十二条规定；</w:t>
      </w:r>
    </w:p>
    <w:p w14:paraId="05C68998">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2.落实政府采购政策需满足的资格要求：本项目属于非专门面向中小企业采购的项目，无落实政府采购政策需满足的资格要求；</w:t>
      </w:r>
    </w:p>
    <w:p w14:paraId="2C994DC8">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3.本项目特定资格要求：在“信用中国”网站</w:t>
      </w:r>
      <w:r>
        <w:rPr>
          <w:rFonts w:hint="eastAsia" w:ascii="仿宋" w:hAnsi="仿宋" w:eastAsia="仿宋" w:cs="仿宋"/>
          <w:sz w:val="28"/>
          <w:szCs w:val="28"/>
        </w:rPr>
        <w:t>（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1049C907">
      <w:pPr>
        <w:adjustRightInd w:val="0"/>
        <w:snapToGrid w:val="0"/>
        <w:spacing w:line="480" w:lineRule="exact"/>
        <w:ind w:firstLine="560" w:firstLineChars="200"/>
        <w:rPr>
          <w:rFonts w:hint="eastAsia" w:ascii="仿宋" w:hAnsi="仿宋" w:eastAsia="仿宋" w:cs="仿宋"/>
          <w:b/>
          <w:bCs/>
          <w:sz w:val="28"/>
          <w:szCs w:val="28"/>
        </w:rPr>
      </w:pPr>
      <w:bookmarkStart w:id="7" w:name="_Toc82505654"/>
      <w:r>
        <w:rPr>
          <w:rFonts w:hint="eastAsia" w:ascii="仿宋" w:hAnsi="仿宋" w:eastAsia="仿宋" w:cs="仿宋"/>
          <w:b/>
          <w:bCs/>
          <w:sz w:val="28"/>
          <w:szCs w:val="28"/>
        </w:rPr>
        <w:t>三、获取采购文件</w:t>
      </w:r>
      <w:bookmarkEnd w:id="7"/>
    </w:p>
    <w:p w14:paraId="79B1BD13">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时间：自本公告发布之日起至2025年</w:t>
      </w:r>
      <w:r>
        <w:rPr>
          <w:rFonts w:hint="eastAsia" w:ascii="仿宋" w:hAnsi="仿宋" w:eastAsia="仿宋" w:cs="仿宋"/>
          <w:sz w:val="28"/>
          <w:szCs w:val="28"/>
          <w:highlight w:val="none"/>
          <w:lang w:val="en-US" w:eastAsia="zh-CN"/>
        </w:rPr>
        <w:t>12</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29</w:t>
      </w:r>
      <w:r>
        <w:rPr>
          <w:rFonts w:hint="eastAsia" w:ascii="仿宋" w:hAnsi="仿宋" w:eastAsia="仿宋" w:cs="仿宋"/>
          <w:sz w:val="28"/>
          <w:szCs w:val="28"/>
          <w:highlight w:val="none"/>
        </w:rPr>
        <w:t>日</w:t>
      </w:r>
      <w:r>
        <w:rPr>
          <w:rFonts w:hint="eastAsia" w:ascii="仿宋" w:hAnsi="仿宋" w:eastAsia="仿宋" w:cs="仿宋"/>
          <w:sz w:val="28"/>
          <w:szCs w:val="28"/>
        </w:rPr>
        <w:t>09点00分</w:t>
      </w:r>
    </w:p>
    <w:p w14:paraId="32AF7033">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地点：江苏政府采购网（网上注册登记成功后系统内免费下载）</w:t>
      </w:r>
    </w:p>
    <w:p w14:paraId="0F701665">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方式：</w:t>
      </w:r>
      <w:bookmarkStart w:id="8" w:name="_Toc82505655"/>
      <w:r>
        <w:rPr>
          <w:rFonts w:hint="eastAsia" w:ascii="仿宋" w:hAnsi="仿宋" w:eastAsia="仿宋" w:cs="仿宋"/>
          <w:sz w:val="28"/>
          <w:szCs w:val="28"/>
        </w:rPr>
        <w:t>本项目采用网上注册登记方式。</w:t>
      </w:r>
    </w:p>
    <w:p w14:paraId="5A17C734">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1潜在供应商访问电子招标响应交易平台的网络地址和方法：</w:t>
      </w:r>
    </w:p>
    <w:p w14:paraId="5D41FDAA">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47AD528D">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2潜在供应商访问“苏采云”系统的网络地址和方法：“苏采云”系统的网址：http://jszfcg.jsczt.cn/。</w:t>
      </w:r>
    </w:p>
    <w:p w14:paraId="5F44C55C">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3“CA数字证书”的获取：</w:t>
      </w:r>
    </w:p>
    <w:p w14:paraId="6C5447F7">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供应商需办理CA锁，“苏采云”系统目前仅支持政务CA、方正签章，省内各地区办理的用于“苏采</w:t>
      </w:r>
      <w:r>
        <w:rPr>
          <w:rFonts w:hint="eastAsia" w:ascii="仿宋" w:hAnsi="仿宋" w:eastAsia="仿宋" w:cs="仿宋"/>
          <w:b/>
          <w:bCs/>
          <w:sz w:val="28"/>
          <w:szCs w:val="28"/>
          <w:highlight w:val="none"/>
        </w:rPr>
        <w:t>云”平台的政务CA、方正签章全省通用。“CA数字证书”的办理方法详见江苏政府采购网—苏采云—供应商进入—CA办理指南中《江苏省政府采购数字证书（供应商）数字证书CA及电子签章办理指南》。</w:t>
      </w:r>
    </w:p>
    <w:p w14:paraId="7859BDFF">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4采购文件（后缀名为“.kedt”）、供应商操作手册及政府采购客户端工具可通过“苏采云”系统--已报名项目--报名详情页面内相应链接进行下载。</w:t>
      </w:r>
    </w:p>
    <w:p w14:paraId="25DAD5CD">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5招标代理机构（采购代理机构）将数据电文形式的采购文件加载至“苏采云”系统，供潜在供应商下载或者查阅。</w:t>
      </w:r>
    </w:p>
    <w:p w14:paraId="5748DE2E">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6请潜在投标单位提前安装相应的控件（详见《江苏省政府采购管理交易系统（苏采云）供应商操作手册》）并使用谷歌浏览器登录“苏采云”系统参与不见面开评标。</w:t>
      </w:r>
    </w:p>
    <w:p w14:paraId="21807A35">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注：如潜在供应商未按上述要求操作，将自行承担所产生的风险。</w:t>
      </w:r>
    </w:p>
    <w:p w14:paraId="58DD0185">
      <w:pPr>
        <w:adjustRightInd w:val="0"/>
        <w:snapToGrid w:val="0"/>
        <w:spacing w:line="480" w:lineRule="exact"/>
        <w:ind w:firstLine="560" w:firstLineChars="200"/>
        <w:rPr>
          <w:rFonts w:hint="eastAsia" w:ascii="仿宋" w:hAnsi="仿宋" w:eastAsia="仿宋" w:cs="仿宋"/>
          <w:b/>
          <w:sz w:val="28"/>
          <w:szCs w:val="28"/>
        </w:rPr>
      </w:pPr>
      <w:r>
        <w:rPr>
          <w:rFonts w:hint="eastAsia" w:ascii="仿宋" w:hAnsi="仿宋" w:eastAsia="仿宋" w:cs="仿宋"/>
          <w:b/>
          <w:bCs/>
          <w:sz w:val="28"/>
          <w:szCs w:val="28"/>
        </w:rPr>
        <w:t>四、响应文件提交</w:t>
      </w:r>
      <w:bookmarkEnd w:id="8"/>
      <w:bookmarkStart w:id="9" w:name="_Toc82505657"/>
      <w:r>
        <w:rPr>
          <w:rFonts w:hint="eastAsia" w:ascii="仿宋" w:hAnsi="仿宋" w:eastAsia="仿宋" w:cs="仿宋"/>
          <w:b/>
          <w:sz w:val="28"/>
          <w:szCs w:val="28"/>
        </w:rPr>
        <w:t>截止时间、谈判时间和地点</w:t>
      </w:r>
    </w:p>
    <w:p w14:paraId="319022FC">
      <w:pPr>
        <w:adjustRightInd w:val="0"/>
        <w:snapToGrid w:val="0"/>
        <w:spacing w:line="480" w:lineRule="exact"/>
        <w:ind w:firstLine="560" w:firstLineChars="200"/>
        <w:rPr>
          <w:rFonts w:hint="eastAsia" w:ascii="仿宋" w:hAnsi="仿宋" w:eastAsia="仿宋" w:cs="仿宋"/>
          <w:i/>
          <w:sz w:val="28"/>
          <w:szCs w:val="28"/>
          <w:u w:val="single"/>
        </w:rPr>
      </w:pPr>
      <w:r>
        <w:rPr>
          <w:rFonts w:hint="eastAsia" w:ascii="仿宋" w:hAnsi="仿宋" w:eastAsia="仿宋" w:cs="仿宋"/>
          <w:sz w:val="28"/>
          <w:szCs w:val="28"/>
        </w:rPr>
        <w:t>1、2025年</w:t>
      </w:r>
      <w:r>
        <w:rPr>
          <w:rFonts w:hint="eastAsia" w:ascii="仿宋" w:hAnsi="仿宋" w:eastAsia="仿宋" w:cs="仿宋"/>
          <w:sz w:val="28"/>
          <w:szCs w:val="28"/>
          <w:highlight w:val="none"/>
          <w:lang w:val="en-US" w:eastAsia="zh-CN"/>
        </w:rPr>
        <w:t>12</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29</w:t>
      </w:r>
      <w:r>
        <w:rPr>
          <w:rFonts w:hint="eastAsia" w:ascii="仿宋" w:hAnsi="仿宋" w:eastAsia="仿宋" w:cs="仿宋"/>
          <w:sz w:val="28"/>
          <w:szCs w:val="28"/>
          <w:highlight w:val="none"/>
        </w:rPr>
        <w:t>日</w:t>
      </w:r>
      <w:r>
        <w:rPr>
          <w:rFonts w:hint="eastAsia" w:ascii="仿宋" w:hAnsi="仿宋" w:eastAsia="仿宋" w:cs="仿宋"/>
          <w:sz w:val="28"/>
          <w:szCs w:val="28"/>
        </w:rPr>
        <w:t>09点00分（北京时间）</w:t>
      </w:r>
    </w:p>
    <w:p w14:paraId="019AE4F5">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逾时，交易系统将拒绝接受上传响应文件电子文档。</w:t>
      </w:r>
    </w:p>
    <w:p w14:paraId="2E4E4274">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注：各供应商请关注开标大厅交流区，在开标结束后，请勿离开开标大厅。</w:t>
      </w:r>
    </w:p>
    <w:p w14:paraId="0B581F82">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2、线上开标地点：“苏采云”系统（网址：http://jszfcg.jsczt.cn/）“开标大厅”。</w:t>
      </w:r>
    </w:p>
    <w:p w14:paraId="4EBD6227">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26B62E6">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五、公告期限</w:t>
      </w:r>
      <w:bookmarkEnd w:id="9"/>
    </w:p>
    <w:p w14:paraId="7CBDE2EC">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自本公告发布之日起3个工作日。</w:t>
      </w:r>
    </w:p>
    <w:p w14:paraId="1BB781FB">
      <w:pPr>
        <w:adjustRightInd w:val="0"/>
        <w:snapToGrid w:val="0"/>
        <w:spacing w:line="480" w:lineRule="exact"/>
        <w:ind w:firstLine="560" w:firstLineChars="200"/>
        <w:rPr>
          <w:rFonts w:hint="eastAsia" w:ascii="仿宋" w:hAnsi="仿宋" w:eastAsia="仿宋" w:cs="仿宋"/>
          <w:b/>
          <w:bCs/>
          <w:sz w:val="28"/>
          <w:szCs w:val="28"/>
        </w:rPr>
      </w:pPr>
      <w:bookmarkStart w:id="10" w:name="_Toc82505658"/>
      <w:r>
        <w:rPr>
          <w:rFonts w:hint="eastAsia" w:ascii="仿宋" w:hAnsi="仿宋" w:eastAsia="仿宋" w:cs="仿宋"/>
          <w:b/>
          <w:bCs/>
          <w:sz w:val="28"/>
          <w:szCs w:val="28"/>
        </w:rPr>
        <w:t>六、其他补充事宜</w:t>
      </w:r>
      <w:bookmarkEnd w:id="10"/>
    </w:p>
    <w:p w14:paraId="6A02329A">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1.响应保证金：免收。</w:t>
      </w:r>
    </w:p>
    <w:p w14:paraId="715C3587">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2.项目开标活动模式：不见面远程开标模式。</w:t>
      </w:r>
    </w:p>
    <w:p w14:paraId="797E785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3.项目演示、样品、答辩等：无。</w:t>
      </w:r>
    </w:p>
    <w:p w14:paraId="03DBD55D">
      <w:pPr>
        <w:adjustRightInd w:val="0"/>
        <w:snapToGrid w:val="0"/>
        <w:spacing w:line="480" w:lineRule="exact"/>
        <w:ind w:firstLine="560" w:firstLineChars="200"/>
        <w:rPr>
          <w:rFonts w:hint="eastAsia" w:ascii="仿宋" w:hAnsi="仿宋" w:eastAsia="仿宋" w:cs="仿宋"/>
          <w:sz w:val="28"/>
          <w:szCs w:val="28"/>
        </w:rPr>
      </w:pPr>
      <w:bookmarkStart w:id="11" w:name="_Toc82505660"/>
      <w:r>
        <w:rPr>
          <w:rFonts w:hint="eastAsia" w:ascii="仿宋" w:hAnsi="仿宋" w:eastAsia="仿宋" w:cs="仿宋"/>
          <w:sz w:val="28"/>
          <w:szCs w:val="28"/>
        </w:rPr>
        <w:t>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2394FAF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256CE00D">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七、凡对本次采购提出询问，请按以下方式联系</w:t>
      </w:r>
      <w:bookmarkEnd w:id="11"/>
    </w:p>
    <w:p w14:paraId="5CDC120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1.采购人信息</w:t>
      </w:r>
    </w:p>
    <w:p w14:paraId="01ACCFC5">
      <w:pPr>
        <w:adjustRightInd w:val="0"/>
        <w:snapToGrid w:val="0"/>
        <w:spacing w:line="48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名称：启东市总工会</w:t>
      </w:r>
    </w:p>
    <w:p w14:paraId="5DAB6CA4">
      <w:pPr>
        <w:adjustRightInd w:val="0"/>
        <w:snapToGrid w:val="0"/>
        <w:spacing w:line="48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地址：启东市世纪大道1288号</w:t>
      </w:r>
    </w:p>
    <w:p w14:paraId="1473B2A3">
      <w:pPr>
        <w:adjustRightInd w:val="0"/>
        <w:snapToGrid w:val="0"/>
        <w:spacing w:line="480" w:lineRule="exact"/>
        <w:ind w:firstLine="840" w:firstLineChars="3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联系人：</w:t>
      </w:r>
      <w:r>
        <w:rPr>
          <w:rFonts w:hint="eastAsia" w:ascii="仿宋" w:hAnsi="仿宋" w:eastAsia="仿宋" w:cs="仿宋"/>
          <w:sz w:val="28"/>
          <w:szCs w:val="28"/>
          <w:highlight w:val="none"/>
          <w:lang w:val="en-US" w:eastAsia="zh-CN"/>
        </w:rPr>
        <w:t>黄先生</w:t>
      </w:r>
    </w:p>
    <w:p w14:paraId="3598E6A4">
      <w:pPr>
        <w:adjustRightInd w:val="0"/>
        <w:snapToGrid w:val="0"/>
        <w:spacing w:line="480" w:lineRule="exact"/>
        <w:ind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联系方式：0513</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rPr>
        <w:t>68285008</w:t>
      </w:r>
    </w:p>
    <w:p w14:paraId="45D4E9BC">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2.采购代理机构</w:t>
      </w:r>
    </w:p>
    <w:p w14:paraId="1417A811">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名  称：上海祥浦建设工程监理咨询有限责任公司</w:t>
      </w:r>
    </w:p>
    <w:p w14:paraId="6A9754B0">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地  址：启东市汇龙镇江海中路579号建都大厦2#3F</w:t>
      </w:r>
    </w:p>
    <w:p w14:paraId="4A98CCD6">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联系方式：0513-83721688</w:t>
      </w:r>
    </w:p>
    <w:p w14:paraId="62F712F8">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3.项目联系方式</w:t>
      </w:r>
    </w:p>
    <w:p w14:paraId="3B9F9D25">
      <w:pPr>
        <w:adjustRightInd w:val="0"/>
        <w:snapToGrid w:val="0"/>
        <w:spacing w:line="48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采购文件制作人：0513-83721688</w:t>
      </w:r>
    </w:p>
    <w:p w14:paraId="755C613D">
      <w:pPr>
        <w:adjustRightInd w:val="0"/>
        <w:snapToGrid w:val="0"/>
        <w:spacing w:line="48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项目开标人：0513-83721688</w:t>
      </w:r>
    </w:p>
    <w:p w14:paraId="740B6854">
      <w:pPr>
        <w:adjustRightInd w:val="0"/>
        <w:snapToGrid w:val="0"/>
        <w:spacing w:line="48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交易系统软件维护人员：0519-86722801、0519-86722806</w:t>
      </w:r>
    </w:p>
    <w:bookmarkEnd w:id="0"/>
    <w:bookmarkEnd w:id="1"/>
    <w:bookmarkEnd w:id="2"/>
    <w:bookmarkEnd w:id="3"/>
    <w:bookmarkEnd w:id="4"/>
    <w:p w14:paraId="74AE526D">
      <w:pPr>
        <w:adjustRightInd w:val="0"/>
        <w:snapToGrid w:val="0"/>
        <w:spacing w:line="500" w:lineRule="exact"/>
        <w:jc w:val="center"/>
        <w:outlineLvl w:val="0"/>
        <w:rPr>
          <w:rFonts w:hint="eastAsia" w:ascii="方正小标宋_GBK" w:hAnsi="宋体" w:eastAsia="方正小标宋_GBK"/>
          <w:bCs/>
          <w:sz w:val="36"/>
          <w:szCs w:val="36"/>
        </w:rPr>
      </w:pPr>
      <w:bookmarkStart w:id="12" w:name="_Toc22736"/>
      <w:bookmarkStart w:id="13" w:name="_Toc82505661"/>
      <w:r>
        <w:rPr>
          <w:rFonts w:hint="eastAsia" w:ascii="宋体" w:hAnsi="宋体" w:cs="宋体"/>
          <w:bCs/>
          <w:sz w:val="36"/>
          <w:szCs w:val="36"/>
        </w:rPr>
        <w:br w:type="page"/>
      </w:r>
      <w:bookmarkEnd w:id="12"/>
      <w:bookmarkEnd w:id="13"/>
      <w:bookmarkStart w:id="14" w:name="_Toc32735"/>
      <w:r>
        <w:rPr>
          <w:rFonts w:hint="eastAsia" w:ascii="仿宋" w:hAnsi="仿宋" w:eastAsia="仿宋" w:cs="仿宋"/>
          <w:b/>
          <w:sz w:val="36"/>
          <w:szCs w:val="36"/>
        </w:rPr>
        <w:t>第二部分  响应须知</w:t>
      </w:r>
    </w:p>
    <w:p w14:paraId="5E9D1FCC">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一、总则</w:t>
      </w:r>
    </w:p>
    <w:p w14:paraId="4CD9CD38">
      <w:pPr>
        <w:adjustRightInd w:val="0"/>
        <w:snapToGrid w:val="0"/>
        <w:spacing w:line="500" w:lineRule="exact"/>
        <w:ind w:firstLine="560" w:firstLineChars="200"/>
        <w:rPr>
          <w:rFonts w:hint="eastAsia" w:ascii="仿宋" w:hAnsi="仿宋" w:eastAsia="仿宋" w:cs="仿宋"/>
          <w:sz w:val="28"/>
          <w:szCs w:val="28"/>
        </w:rPr>
      </w:pPr>
      <w:bookmarkStart w:id="15" w:name="_Toc458694821"/>
      <w:bookmarkStart w:id="16" w:name="_Toc16938520"/>
      <w:bookmarkStart w:id="17" w:name="_Toc513029204"/>
      <w:bookmarkStart w:id="18" w:name="_Toc20823276"/>
      <w:r>
        <w:rPr>
          <w:rFonts w:hint="eastAsia" w:ascii="仿宋" w:hAnsi="仿宋" w:eastAsia="仿宋" w:cs="仿宋"/>
          <w:sz w:val="28"/>
          <w:szCs w:val="28"/>
        </w:rPr>
        <w:t>1</w:t>
      </w:r>
      <w:bookmarkEnd w:id="15"/>
      <w:r>
        <w:rPr>
          <w:rFonts w:hint="eastAsia" w:ascii="仿宋" w:hAnsi="仿宋" w:eastAsia="仿宋" w:cs="仿宋"/>
          <w:sz w:val="28"/>
          <w:szCs w:val="28"/>
        </w:rPr>
        <w:t>.采购方式</w:t>
      </w:r>
      <w:bookmarkEnd w:id="16"/>
      <w:bookmarkEnd w:id="17"/>
      <w:bookmarkEnd w:id="18"/>
    </w:p>
    <w:p w14:paraId="5AA2BDB3">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本次采购采取询价方式，本询价文件仅适用于询价公告中所述项目。</w:t>
      </w:r>
    </w:p>
    <w:p w14:paraId="30546C7F">
      <w:pPr>
        <w:adjustRightInd w:val="0"/>
        <w:snapToGrid w:val="0"/>
        <w:spacing w:line="500" w:lineRule="exact"/>
        <w:ind w:firstLine="560" w:firstLineChars="200"/>
        <w:rPr>
          <w:rFonts w:hint="eastAsia" w:ascii="仿宋" w:hAnsi="仿宋" w:eastAsia="仿宋" w:cs="仿宋"/>
          <w:sz w:val="28"/>
          <w:szCs w:val="28"/>
        </w:rPr>
      </w:pPr>
      <w:bookmarkStart w:id="19" w:name="_Toc20823277"/>
      <w:bookmarkStart w:id="20" w:name="_Toc16938521"/>
      <w:bookmarkStart w:id="21" w:name="_Toc513029205"/>
      <w:r>
        <w:rPr>
          <w:rFonts w:hint="eastAsia" w:ascii="仿宋" w:hAnsi="仿宋" w:eastAsia="仿宋" w:cs="仿宋"/>
          <w:sz w:val="28"/>
          <w:szCs w:val="28"/>
        </w:rPr>
        <w:t>2.合格的</w:t>
      </w:r>
      <w:bookmarkEnd w:id="19"/>
      <w:bookmarkEnd w:id="20"/>
      <w:bookmarkEnd w:id="21"/>
      <w:r>
        <w:rPr>
          <w:rFonts w:hint="eastAsia" w:ascii="仿宋" w:hAnsi="仿宋" w:eastAsia="仿宋" w:cs="仿宋"/>
          <w:sz w:val="28"/>
          <w:szCs w:val="28"/>
        </w:rPr>
        <w:t>响应供应商</w:t>
      </w:r>
    </w:p>
    <w:p w14:paraId="31D3104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2.1满足询价公告中供应商的资格要求的规定。</w:t>
      </w:r>
    </w:p>
    <w:p w14:paraId="0923C92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满足本文件实质性条款的规定。</w:t>
      </w:r>
    </w:p>
    <w:p w14:paraId="3CE8F62C">
      <w:pPr>
        <w:adjustRightInd w:val="0"/>
        <w:snapToGrid w:val="0"/>
        <w:spacing w:line="500" w:lineRule="exact"/>
        <w:ind w:firstLine="560" w:firstLineChars="200"/>
        <w:rPr>
          <w:rFonts w:hint="eastAsia" w:ascii="仿宋" w:hAnsi="仿宋" w:eastAsia="仿宋" w:cs="仿宋"/>
          <w:sz w:val="28"/>
          <w:szCs w:val="28"/>
        </w:rPr>
      </w:pPr>
      <w:bookmarkStart w:id="22" w:name="_Toc513029206"/>
      <w:bookmarkStart w:id="23" w:name="_Toc16938522"/>
      <w:bookmarkStart w:id="24" w:name="_Toc20823278"/>
      <w:r>
        <w:rPr>
          <w:rFonts w:hint="eastAsia" w:ascii="仿宋" w:hAnsi="仿宋" w:eastAsia="仿宋" w:cs="仿宋"/>
          <w:sz w:val="28"/>
          <w:szCs w:val="28"/>
        </w:rPr>
        <w:t>3.适用法律</w:t>
      </w:r>
      <w:bookmarkEnd w:id="22"/>
      <w:bookmarkEnd w:id="23"/>
      <w:bookmarkEnd w:id="24"/>
    </w:p>
    <w:p w14:paraId="5038CC60">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本次询价采购及由此产生的合同受中华人民共和国有关的法律法规制约和保护。</w:t>
      </w:r>
    </w:p>
    <w:p w14:paraId="2E056946">
      <w:pPr>
        <w:adjustRightInd w:val="0"/>
        <w:snapToGrid w:val="0"/>
        <w:spacing w:line="500" w:lineRule="exact"/>
        <w:ind w:firstLine="560" w:firstLineChars="200"/>
        <w:rPr>
          <w:rFonts w:hint="eastAsia" w:ascii="仿宋" w:hAnsi="仿宋" w:eastAsia="仿宋" w:cs="仿宋"/>
          <w:sz w:val="28"/>
          <w:szCs w:val="28"/>
        </w:rPr>
      </w:pPr>
      <w:bookmarkStart w:id="25" w:name="_Toc513029207"/>
      <w:bookmarkStart w:id="26" w:name="_Toc20823279"/>
      <w:bookmarkStart w:id="27" w:name="_Toc16938523"/>
      <w:bookmarkStart w:id="28" w:name="_Toc462564067"/>
      <w:r>
        <w:rPr>
          <w:rFonts w:hint="eastAsia" w:ascii="仿宋" w:hAnsi="仿宋" w:eastAsia="仿宋" w:cs="仿宋"/>
          <w:sz w:val="28"/>
          <w:szCs w:val="28"/>
        </w:rPr>
        <w:t>4.响应费用</w:t>
      </w:r>
      <w:bookmarkEnd w:id="25"/>
      <w:bookmarkEnd w:id="26"/>
      <w:bookmarkEnd w:id="27"/>
      <w:bookmarkEnd w:id="28"/>
    </w:p>
    <w:p w14:paraId="20A4799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 响应供应商应自行承担所有与参加响应有关的费用。</w:t>
      </w:r>
    </w:p>
    <w:p w14:paraId="60D8B96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4.2本次询价采购，采购人不收取标书工本费。</w:t>
      </w:r>
    </w:p>
    <w:p w14:paraId="754D2BF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5.采购文件的约束力</w:t>
      </w:r>
    </w:p>
    <w:p w14:paraId="2C9D49A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响应供应商一旦参加本项目采购活动，即被认为接受了本询价采购文件的规定和约束。</w:t>
      </w:r>
    </w:p>
    <w:p w14:paraId="291F3CB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6.采购文件的解释</w:t>
      </w:r>
    </w:p>
    <w:p w14:paraId="2E6A444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本采购文件仅适用于本次询价采购，项目需求部分（供应商资格要求、项目需求）由采购人解释，其他部分由采购代理机构解释。</w:t>
      </w:r>
    </w:p>
    <w:p w14:paraId="3DC9356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7.报价要求</w:t>
      </w:r>
    </w:p>
    <w:p w14:paraId="6B1358D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w:t>
      </w:r>
      <w:r>
        <w:rPr>
          <w:rFonts w:ascii="Times New Roman" w:hAnsi="Times New Roman" w:eastAsia="方正仿宋_GBK"/>
          <w:sz w:val="28"/>
          <w:szCs w:val="28"/>
        </w:rPr>
        <w:t>询价为一次性报价，响应供应商应一次性报出不得更改的价格。供应商的报价应包括本项目所有涉及的全部费用，如设备、标准附件、运输、安装调试、人员培训、质保、售后服务、税金及其他一切有关为完成本项目发生的所有费用，采购文件中另有规定的除外。</w:t>
      </w:r>
    </w:p>
    <w:p w14:paraId="6043D31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7.2采购人不接受任何可选择的报价，成交供应商不得在供货期间提出任何增加费用的要求。请各供应商在报价时充分考虑各种因素。</w:t>
      </w:r>
    </w:p>
    <w:p w14:paraId="2506395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7.3</w:t>
      </w:r>
      <w:r>
        <w:rPr>
          <w:rFonts w:hint="eastAsia" w:ascii="仿宋" w:hAnsi="仿宋" w:eastAsia="仿宋" w:cs="仿宋"/>
          <w:bCs/>
          <w:sz w:val="28"/>
          <w:szCs w:val="28"/>
        </w:rPr>
        <w:t>异常低价投标（响应）审查的情形和具体要求：</w:t>
      </w:r>
    </w:p>
    <w:p w14:paraId="7AD21DC9">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（一）评审过程中出现下列情形之一的，询价小组应当启动异常低价投标（响应）审查程序：</w:t>
      </w:r>
    </w:p>
    <w:p w14:paraId="69CD92CA">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1．投标（响应）报价低于采购项目预算50% 的，即投标（响应）报价&lt;采购项目预算×50% ；</w:t>
      </w:r>
    </w:p>
    <w:p w14:paraId="0E85497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2．投标（响应）报价低于采购项目最高限价45% 的，即投标（响应）报价&lt;采购项目最高限价×45% ；</w:t>
      </w:r>
    </w:p>
    <w:p w14:paraId="2A5F49C5">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3．询价小组认定的供应商报价过低、有可能影响产品质量或者不能诚信履约的其他情形。</w:t>
      </w:r>
    </w:p>
    <w:p w14:paraId="249DDC9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二）启动异常低价投标（响应）审查后，询价小组应当要求相关供应商在合理的时间内通过“苏采云”系统，提供项目具体成本测算等与报价合理性相关的书面说明及相关证明材料，对投标（响应）价格作出解释，由询价小组结合同类产品在主要电商平台的价格、该行业当地薪资水平等情况，依据专业经验对供应商报价合理性进行判断。投标（响应）供应商不提供书面说明、证明材料，或者提供的书面说明、证明材料不能证明其报价合理性的，询价小组应当将其作为无效投标（响应）处理。审查相关情况应当在评审报告中进行记录。</w:t>
      </w:r>
    </w:p>
    <w:p w14:paraId="572548E7">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二、采购文件</w:t>
      </w:r>
    </w:p>
    <w:p w14:paraId="4C6AA5E7">
      <w:pPr>
        <w:widowControl/>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1.采购文件的构成</w:t>
      </w:r>
    </w:p>
    <w:p w14:paraId="326B5C8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采购文件由以下部分组成：</w:t>
      </w:r>
    </w:p>
    <w:p w14:paraId="5BCA213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（1）询价采购公告</w:t>
      </w:r>
    </w:p>
    <w:p w14:paraId="74699B0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（2）响应须知</w:t>
      </w:r>
    </w:p>
    <w:p w14:paraId="126CC65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（3）项目需求</w:t>
      </w:r>
    </w:p>
    <w:p w14:paraId="7201C20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（4）响应文件格式</w:t>
      </w:r>
    </w:p>
    <w:p w14:paraId="487CAEB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（5）附件（如有）</w:t>
      </w:r>
    </w:p>
    <w:p w14:paraId="7247F3E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请响应供应商仔细检查采购文件是否齐全，如有缺漏请立即与采购代理机构联系解决。</w:t>
      </w:r>
    </w:p>
    <w:p w14:paraId="4D64D90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1.2</w:t>
      </w:r>
      <w:r>
        <w:rPr>
          <w:rFonts w:hint="eastAsia" w:ascii="仿宋" w:hAnsi="仿宋" w:eastAsia="仿宋" w:cs="仿宋"/>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30E7DCE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2.询价采购文件的澄清</w:t>
      </w:r>
    </w:p>
    <w:p w14:paraId="4A127C8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任何要求对采购文件进行澄清的响应供应商，应在响应截止期3日前按询价采购公告中的通讯地址，以书面形式通知采购人。采购人有权对发出的采购文件进行必要的澄清或修改。</w:t>
      </w:r>
    </w:p>
    <w:p w14:paraId="42415057">
      <w:pPr>
        <w:adjustRightInd w:val="0"/>
        <w:snapToGrid w:val="0"/>
        <w:spacing w:line="500" w:lineRule="exact"/>
        <w:ind w:firstLine="560" w:firstLineChars="200"/>
        <w:rPr>
          <w:rFonts w:hint="eastAsia" w:ascii="仿宋" w:hAnsi="仿宋" w:eastAsia="仿宋" w:cs="仿宋"/>
          <w:sz w:val="28"/>
          <w:szCs w:val="28"/>
        </w:rPr>
      </w:pPr>
      <w:bookmarkStart w:id="29" w:name="_Toc462564071"/>
      <w:bookmarkStart w:id="30" w:name="_Toc513029212"/>
      <w:bookmarkStart w:id="31" w:name="_Toc20823284"/>
      <w:bookmarkStart w:id="32" w:name="_Toc16938528"/>
      <w:r>
        <w:rPr>
          <w:rFonts w:hint="eastAsia" w:ascii="仿宋" w:hAnsi="仿宋" w:eastAsia="仿宋" w:cs="仿宋"/>
          <w:sz w:val="28"/>
          <w:szCs w:val="28"/>
        </w:rPr>
        <w:t>3.询价采购文件的修改</w:t>
      </w:r>
      <w:bookmarkEnd w:id="29"/>
      <w:bookmarkEnd w:id="30"/>
      <w:bookmarkEnd w:id="31"/>
      <w:bookmarkEnd w:id="32"/>
    </w:p>
    <w:p w14:paraId="5EB4040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3.1</w:t>
      </w:r>
      <w:r>
        <w:rPr>
          <w:rFonts w:hint="eastAsia" w:ascii="仿宋" w:hAnsi="仿宋" w:eastAsia="仿宋" w:cs="仿宋"/>
          <w:sz w:val="28"/>
          <w:szCs w:val="28"/>
        </w:rPr>
        <w:t>在响应截止时间前，采购代理机构可以对采购文件进行修改。</w:t>
      </w:r>
    </w:p>
    <w:p w14:paraId="3B0A718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 xml:space="preserve">3.2 </w:t>
      </w:r>
      <w:r>
        <w:rPr>
          <w:rFonts w:hint="eastAsia" w:ascii="仿宋" w:hAnsi="仿宋" w:eastAsia="仿宋" w:cs="仿宋"/>
          <w:sz w:val="28"/>
          <w:szCs w:val="28"/>
        </w:rPr>
        <w:t>采购代理机构有权按照法定的要求推迟响应截止日期和开标日期。</w:t>
      </w:r>
    </w:p>
    <w:p w14:paraId="1AB1453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 xml:space="preserve">3.3 </w:t>
      </w:r>
      <w:r>
        <w:rPr>
          <w:rFonts w:hint="eastAsia" w:ascii="仿宋" w:hAnsi="仿宋" w:eastAsia="仿宋" w:cs="仿宋"/>
          <w:sz w:val="28"/>
          <w:szCs w:val="28"/>
        </w:rPr>
        <w:t>采购文件的修改将在江苏政府采购网公布，补充文件将作为采购文件的组成部分，并对响应供应商具有约束力，请供应商及时关注网站公告信息。</w:t>
      </w:r>
    </w:p>
    <w:p w14:paraId="1DB949A4">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三、响应文件的编制</w:t>
      </w:r>
    </w:p>
    <w:p w14:paraId="684AD950">
      <w:pPr>
        <w:adjustRightInd w:val="0"/>
        <w:snapToGrid w:val="0"/>
        <w:spacing w:line="500" w:lineRule="exact"/>
        <w:ind w:firstLine="560" w:firstLineChars="200"/>
        <w:rPr>
          <w:rFonts w:hint="eastAsia" w:ascii="仿宋" w:hAnsi="仿宋" w:eastAsia="仿宋" w:cs="仿宋"/>
          <w:bCs/>
          <w:sz w:val="28"/>
          <w:szCs w:val="28"/>
        </w:rPr>
      </w:pPr>
      <w:bookmarkStart w:id="33" w:name="_Toc20823286"/>
      <w:bookmarkStart w:id="34" w:name="_Toc462564073"/>
      <w:bookmarkStart w:id="35" w:name="_Toc16938530"/>
      <w:bookmarkStart w:id="36" w:name="_Toc513029214"/>
      <w:r>
        <w:rPr>
          <w:rFonts w:hint="eastAsia" w:ascii="仿宋" w:hAnsi="仿宋" w:eastAsia="仿宋" w:cs="仿宋"/>
          <w:bCs/>
          <w:sz w:val="28"/>
          <w:szCs w:val="28"/>
        </w:rPr>
        <w:t>1.响应文件的语言及度量衡单位</w:t>
      </w:r>
      <w:bookmarkEnd w:id="33"/>
      <w:bookmarkEnd w:id="34"/>
      <w:bookmarkEnd w:id="35"/>
      <w:bookmarkEnd w:id="36"/>
    </w:p>
    <w:p w14:paraId="1A7FCFDF">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 响应供应商提交的响应文件以及响应供应商与</w:t>
      </w:r>
      <w:r>
        <w:rPr>
          <w:rFonts w:hint="eastAsia" w:ascii="仿宋" w:hAnsi="仿宋" w:eastAsia="仿宋" w:cs="仿宋"/>
          <w:sz w:val="28"/>
          <w:szCs w:val="28"/>
        </w:rPr>
        <w:t>采购代理机构</w:t>
      </w:r>
      <w:r>
        <w:rPr>
          <w:rFonts w:hint="eastAsia" w:ascii="仿宋" w:hAnsi="仿宋" w:eastAsia="仿宋" w:cs="仿宋"/>
          <w:bCs/>
          <w:sz w:val="28"/>
          <w:szCs w:val="28"/>
        </w:rPr>
        <w:t>就有关响应的所有来往通知、函件和文件均应使用简体中文。</w:t>
      </w:r>
    </w:p>
    <w:p w14:paraId="3456508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1.2 除技术性能另有规定外，响应文件所使用的度量衡单位，均须采用国家法定计量单位。</w:t>
      </w:r>
    </w:p>
    <w:p w14:paraId="6E5B9BC3">
      <w:pPr>
        <w:adjustRightInd w:val="0"/>
        <w:snapToGrid w:val="0"/>
        <w:spacing w:line="500" w:lineRule="exact"/>
        <w:ind w:firstLine="560" w:firstLineChars="200"/>
        <w:rPr>
          <w:rFonts w:hint="eastAsia" w:ascii="仿宋" w:hAnsi="仿宋" w:eastAsia="仿宋" w:cs="仿宋"/>
          <w:bCs/>
          <w:sz w:val="28"/>
          <w:szCs w:val="28"/>
        </w:rPr>
      </w:pPr>
      <w:bookmarkStart w:id="37" w:name="_Toc20823287"/>
      <w:bookmarkStart w:id="38" w:name="_Toc462564074"/>
      <w:bookmarkStart w:id="39" w:name="_Toc16938531"/>
      <w:bookmarkStart w:id="40" w:name="_Toc513029215"/>
      <w:r>
        <w:rPr>
          <w:rFonts w:hint="eastAsia" w:ascii="仿宋" w:hAnsi="仿宋" w:eastAsia="仿宋" w:cs="仿宋"/>
          <w:bCs/>
          <w:sz w:val="28"/>
          <w:szCs w:val="28"/>
        </w:rPr>
        <w:t>2.响应文件构成</w:t>
      </w:r>
      <w:bookmarkEnd w:id="37"/>
      <w:bookmarkEnd w:id="38"/>
      <w:bookmarkEnd w:id="39"/>
      <w:bookmarkEnd w:id="40"/>
    </w:p>
    <w:p w14:paraId="4B737070">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2.1响应供应商应按“第四部分响应文件格式”要求编写响应文件。</w:t>
      </w:r>
    </w:p>
    <w:p w14:paraId="26AD6868">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kern w:val="0"/>
          <w:sz w:val="28"/>
          <w:szCs w:val="28"/>
        </w:rPr>
        <w:t>2.2 如标书制作工具中格式和内容与“江苏政府采购网”发布的询价文件不一致，请以“江苏政府采购网”发布的询价文件为准。</w:t>
      </w:r>
    </w:p>
    <w:p w14:paraId="658B30F3">
      <w:pPr>
        <w:adjustRightInd w:val="0"/>
        <w:snapToGrid w:val="0"/>
        <w:spacing w:line="500" w:lineRule="exact"/>
        <w:ind w:firstLine="560" w:firstLineChars="200"/>
        <w:rPr>
          <w:rFonts w:hint="eastAsia" w:ascii="仿宋" w:hAnsi="仿宋" w:eastAsia="仿宋" w:cs="仿宋"/>
          <w:bCs/>
          <w:sz w:val="28"/>
          <w:szCs w:val="28"/>
        </w:rPr>
      </w:pPr>
      <w:bookmarkStart w:id="41" w:name="_Hlt26668975"/>
      <w:bookmarkEnd w:id="41"/>
      <w:bookmarkStart w:id="42" w:name="_Hlt26954838"/>
      <w:bookmarkEnd w:id="42"/>
      <w:bookmarkStart w:id="43" w:name="_Hlt26670360"/>
      <w:bookmarkEnd w:id="43"/>
      <w:bookmarkStart w:id="44" w:name="_Toc49090511"/>
      <w:bookmarkStart w:id="45" w:name="_Toc14577360"/>
      <w:r>
        <w:rPr>
          <w:rFonts w:hint="eastAsia" w:ascii="仿宋" w:hAnsi="仿宋" w:eastAsia="仿宋" w:cs="仿宋"/>
          <w:bCs/>
          <w:sz w:val="28"/>
          <w:szCs w:val="28"/>
        </w:rPr>
        <w:t>3.响应有效期</w:t>
      </w:r>
      <w:bookmarkEnd w:id="44"/>
      <w:bookmarkEnd w:id="45"/>
    </w:p>
    <w:p w14:paraId="27E1CBF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响应文件和响应供应商法定代表人或其授权委托人签署的文件、资料的有效期为自开标之日起60个日历日。</w:t>
      </w:r>
      <w:r>
        <w:rPr>
          <w:rFonts w:hint="eastAsia" w:ascii="仿宋" w:hAnsi="仿宋" w:eastAsia="仿宋" w:cs="仿宋"/>
          <w:bCs/>
          <w:sz w:val="28"/>
          <w:szCs w:val="28"/>
        </w:rPr>
        <w:t>响应有效期比规定短的将被视为非响应性响应而予以拒绝。</w:t>
      </w:r>
    </w:p>
    <w:p w14:paraId="1C59CB7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4.响应有效期的延长</w:t>
      </w:r>
    </w:p>
    <w:p w14:paraId="3BDEA7A9">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在特殊情况下，</w:t>
      </w:r>
      <w:r>
        <w:rPr>
          <w:rFonts w:hint="eastAsia" w:ascii="仿宋" w:hAnsi="仿宋" w:eastAsia="仿宋" w:cs="仿宋"/>
          <w:sz w:val="28"/>
          <w:szCs w:val="28"/>
        </w:rPr>
        <w:t>采购代理机构</w:t>
      </w:r>
      <w:r>
        <w:rPr>
          <w:rFonts w:hint="eastAsia" w:ascii="仿宋" w:hAnsi="仿宋" w:eastAsia="仿宋" w:cs="仿宋"/>
          <w:bCs/>
          <w:sz w:val="28"/>
          <w:szCs w:val="28"/>
        </w:rPr>
        <w:t>于原响应有效期满之前，可向响应供应商提出延长响应有效期的要求。这种要求与答复均应采用书面形式。响应供应商可以拒绝</w:t>
      </w:r>
      <w:r>
        <w:rPr>
          <w:rFonts w:hint="eastAsia" w:ascii="仿宋" w:hAnsi="仿宋" w:eastAsia="仿宋" w:cs="仿宋"/>
          <w:sz w:val="28"/>
          <w:szCs w:val="28"/>
        </w:rPr>
        <w:t>采购代理机构</w:t>
      </w:r>
      <w:r>
        <w:rPr>
          <w:rFonts w:hint="eastAsia" w:ascii="仿宋" w:hAnsi="仿宋" w:eastAsia="仿宋" w:cs="仿宋"/>
          <w:bCs/>
          <w:sz w:val="28"/>
          <w:szCs w:val="28"/>
        </w:rPr>
        <w:t>的这一要求而放弃响应，同意延长响应有效期的响应供应商既不能要求也不允许修改其响应文件。受响应有效期约束的所有权利与义务均延长至新的有效期。</w:t>
      </w:r>
    </w:p>
    <w:p w14:paraId="67D2D0AA">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四、响应文件的递交</w:t>
      </w:r>
    </w:p>
    <w:p w14:paraId="1D9BF488">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1.响应文件的递交</w:t>
      </w:r>
    </w:p>
    <w:p w14:paraId="0300D908">
      <w:pPr>
        <w:adjustRightInd w:val="0"/>
        <w:snapToGrid w:val="0"/>
        <w:spacing w:line="500" w:lineRule="exact"/>
        <w:ind w:firstLine="560" w:firstLineChars="200"/>
        <w:jc w:val="left"/>
        <w:rPr>
          <w:rFonts w:hint="eastAsia" w:ascii="仿宋" w:hAnsi="仿宋" w:eastAsia="仿宋" w:cs="仿宋"/>
          <w:b/>
          <w:bCs/>
          <w:i/>
          <w:iCs/>
          <w:sz w:val="28"/>
          <w:szCs w:val="28"/>
        </w:rPr>
      </w:pPr>
      <w:r>
        <w:rPr>
          <w:rFonts w:hint="eastAsia" w:ascii="仿宋" w:hAnsi="仿宋" w:eastAsia="仿宋" w:cs="仿宋"/>
          <w:bCs/>
          <w:sz w:val="28"/>
          <w:szCs w:val="28"/>
        </w:rPr>
        <w:t>1.1供应商应当按照江苏政府采购网—资料下载中《江苏省政府采购管理交易系统（苏采云）供应商操作手册》规定，在</w:t>
      </w:r>
      <w:r>
        <w:rPr>
          <w:rFonts w:hint="eastAsia" w:ascii="仿宋" w:hAnsi="仿宋" w:eastAsia="仿宋" w:cs="仿宋"/>
          <w:sz w:val="28"/>
          <w:szCs w:val="28"/>
        </w:rPr>
        <w:t>响应文件提交</w:t>
      </w:r>
      <w:r>
        <w:rPr>
          <w:rFonts w:hint="eastAsia" w:ascii="仿宋" w:hAnsi="仿宋" w:eastAsia="仿宋" w:cs="仿宋"/>
          <w:bCs/>
          <w:sz w:val="28"/>
          <w:szCs w:val="28"/>
        </w:rPr>
        <w:t>截止时间前制作并上传电子响应文件。</w:t>
      </w:r>
    </w:p>
    <w:p w14:paraId="5292B04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1.2上传响应文件的内容不清楚或不清晰的（含扫描件），造成无法评审或部分影响评审的，导致评审差错的，责任由供应商自负。</w:t>
      </w:r>
    </w:p>
    <w:p w14:paraId="6082036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2.响应文件截止日期</w:t>
      </w:r>
    </w:p>
    <w:p w14:paraId="76C9E600">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 供应商上传电子响应文件的时间不得迟于采购公告中规定的响应文件提交截止时间。供应商应充分考虑到网络环境、网络带宽等风险因素，如因供应商自身原因造成的电子响应文件上传不成功由供应商自行承担全部责任。</w:t>
      </w:r>
    </w:p>
    <w:p w14:paraId="3A898ECD">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 xml:space="preserve">2.2 </w:t>
      </w:r>
      <w:r>
        <w:rPr>
          <w:rFonts w:hint="eastAsia" w:ascii="仿宋" w:hAnsi="仿宋" w:eastAsia="仿宋" w:cs="仿宋"/>
          <w:sz w:val="28"/>
          <w:szCs w:val="28"/>
        </w:rPr>
        <w:t>采购代理机构</w:t>
      </w:r>
      <w:r>
        <w:rPr>
          <w:rFonts w:hint="eastAsia" w:ascii="仿宋" w:hAnsi="仿宋" w:eastAsia="仿宋" w:cs="仿宋"/>
          <w:bCs/>
          <w:sz w:val="28"/>
          <w:szCs w:val="28"/>
        </w:rPr>
        <w:t>可以按照规定，通过修改采购文件酌情延长响应截止日期，在此情况下，供应商的所有权利和义务以及供应商受制的截止日期均应以延长后新的截止日期为准。</w:t>
      </w:r>
    </w:p>
    <w:p w14:paraId="4A38319A">
      <w:pPr>
        <w:adjustRightInd w:val="0"/>
        <w:snapToGrid w:val="0"/>
        <w:spacing w:line="500" w:lineRule="exact"/>
        <w:ind w:firstLine="560" w:firstLineChars="200"/>
        <w:rPr>
          <w:rFonts w:hint="eastAsia" w:ascii="仿宋" w:hAnsi="仿宋" w:eastAsia="仿宋" w:cs="仿宋"/>
          <w:bCs/>
          <w:sz w:val="28"/>
          <w:szCs w:val="28"/>
        </w:rPr>
      </w:pPr>
      <w:bookmarkStart w:id="46" w:name="_Toc16938543"/>
      <w:bookmarkStart w:id="47" w:name="_Toc20823299"/>
      <w:bookmarkStart w:id="48" w:name="_Toc513029227"/>
      <w:r>
        <w:rPr>
          <w:rFonts w:hint="eastAsia" w:ascii="仿宋" w:hAnsi="仿宋" w:eastAsia="仿宋" w:cs="仿宋"/>
          <w:bCs/>
          <w:sz w:val="28"/>
          <w:szCs w:val="28"/>
        </w:rPr>
        <w:t>3.响应文件</w:t>
      </w:r>
      <w:bookmarkEnd w:id="46"/>
      <w:bookmarkEnd w:id="47"/>
      <w:bookmarkEnd w:id="48"/>
      <w:r>
        <w:rPr>
          <w:rFonts w:hint="eastAsia" w:ascii="仿宋" w:hAnsi="仿宋" w:eastAsia="仿宋" w:cs="仿宋"/>
          <w:bCs/>
          <w:sz w:val="28"/>
          <w:szCs w:val="28"/>
        </w:rPr>
        <w:t>的拒收</w:t>
      </w:r>
    </w:p>
    <w:p w14:paraId="68D3C6B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采购代理机构</w:t>
      </w:r>
      <w:r>
        <w:rPr>
          <w:rFonts w:hint="eastAsia" w:ascii="仿宋" w:hAnsi="仿宋" w:eastAsia="仿宋" w:cs="仿宋"/>
          <w:bCs/>
          <w:sz w:val="28"/>
          <w:szCs w:val="28"/>
        </w:rPr>
        <w:t>拒绝接收在其规定的响应截止时间后上传的任何响应文件。未在规定的响应截止时间内上传响应文件电子文档的，询价小组将视其放弃参与本项目采购活动。</w:t>
      </w:r>
      <w:bookmarkStart w:id="49" w:name="_Toc20823300"/>
      <w:bookmarkStart w:id="50" w:name="_Toc16938544"/>
      <w:bookmarkStart w:id="51" w:name="_Toc513029228"/>
    </w:p>
    <w:p w14:paraId="1F7A8E2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4.响应文件的修改</w:t>
      </w:r>
      <w:bookmarkEnd w:id="49"/>
      <w:bookmarkEnd w:id="50"/>
      <w:bookmarkEnd w:id="51"/>
    </w:p>
    <w:p w14:paraId="3BAB5E4E">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4.1 在响应文件提交截止时间之后，响应供应商不得对其响应文件作任何修改。</w:t>
      </w:r>
    </w:p>
    <w:p w14:paraId="384DB9C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4.2 在响应文件提交截止时间至采购文件中规定的响应有效期满之间的这段时间内，响应供应商不得撤回其响应。</w:t>
      </w:r>
    </w:p>
    <w:p w14:paraId="18DC6F78">
      <w:pPr>
        <w:adjustRightInd w:val="0"/>
        <w:snapToGrid w:val="0"/>
        <w:spacing w:line="500" w:lineRule="exact"/>
        <w:jc w:val="left"/>
        <w:rPr>
          <w:rFonts w:hint="eastAsia" w:ascii="仿宋" w:hAnsi="仿宋" w:eastAsia="仿宋" w:cs="仿宋"/>
          <w:b/>
          <w:sz w:val="28"/>
          <w:szCs w:val="28"/>
        </w:rPr>
      </w:pPr>
      <w:r>
        <w:rPr>
          <w:rFonts w:hint="eastAsia" w:ascii="仿宋" w:hAnsi="仿宋" w:eastAsia="仿宋" w:cs="仿宋"/>
          <w:b/>
          <w:sz w:val="28"/>
          <w:szCs w:val="28"/>
        </w:rPr>
        <w:t>五、询价采购程序</w:t>
      </w:r>
    </w:p>
    <w:p w14:paraId="5BAD0B36">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1.询价小组</w:t>
      </w:r>
    </w:p>
    <w:p w14:paraId="1893EE7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1.1 开标后，采购代理机构或采购人将立即组织询价小组进行评标。</w:t>
      </w:r>
    </w:p>
    <w:p w14:paraId="7E2EEDA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1.2 询价小组由政府采购评审专家和采购人代表组成，且人员构成符合政府采购有关规定。</w:t>
      </w:r>
    </w:p>
    <w:p w14:paraId="69608EB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1.3询价小组应当按照客观、公正、审慎的原则评审响应供应商的响应文件。</w:t>
      </w:r>
    </w:p>
    <w:p w14:paraId="384EE090">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2.响应的澄清</w:t>
      </w:r>
    </w:p>
    <w:p w14:paraId="4509B9FF">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2.1评审期间，为有助于对响应文件的审查、评价和比较，询价小组有权要求供应商对其响应文件进行澄清，但并非对每个供应商都作澄清要求。</w:t>
      </w:r>
    </w:p>
    <w:p w14:paraId="213142A1">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2.2接到询价小组澄清要求的供应商应派人按询价小组规定的时间和格式作出澄清，澄清的内容作为响应文件的补充部分，但响应的价格和实质性的内容不得做任何更改。</w:t>
      </w:r>
    </w:p>
    <w:p w14:paraId="79D5EFE7">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2.3 接到询价小组澄清要求的供应商如未按规定做出澄清，其风险由供应商自行承担。</w:t>
      </w:r>
    </w:p>
    <w:p w14:paraId="1F6173D2">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3.对响应文件的初审</w:t>
      </w:r>
    </w:p>
    <w:p w14:paraId="78A4FF5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3.1响应文件初审分为资格性检查和符合性检查。</w:t>
      </w:r>
    </w:p>
    <w:p w14:paraId="6CE50525">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（1）资格性检查：依据法律法规和采购文件的规定，询价小组对响应文件中的资格证明文件等进行审查，以确定供应商是否具备参加询价的资格。</w:t>
      </w:r>
    </w:p>
    <w:p w14:paraId="29035A8C">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询价小组在进行资格性审查的同时，将在“信用中国”网站对供应商是否被列入失信被执行人、重大税收违法案件当事人名单、政府采购严重失信行为记录名单情况进行查询，以确定供应商是否具备参加询价的资格，查询结果留存并归档。</w:t>
      </w:r>
    </w:p>
    <w:p w14:paraId="00B57B50">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4D48665B">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资格性审查未通过的响应供应商作无效响应处理。</w:t>
      </w:r>
    </w:p>
    <w:p w14:paraId="6D8B9709">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符合性检查：依据采购文件的规定，询价小组从响应文件的有效性、完整性和对采购文件的响应程度进行审查，以确定是否对采购文件的实质性要求作出响应。符合性审查未通过的响应供应商作无效响应处理。</w:t>
      </w:r>
    </w:p>
    <w:p w14:paraId="1F2E21BE">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（3）未通过资格性审查或符合性审查的响应供应商，采购代理机构将告知其未通过资格性审查或符合性审查的原因</w:t>
      </w:r>
      <w:r>
        <w:rPr>
          <w:rFonts w:hint="eastAsia" w:ascii="仿宋" w:hAnsi="仿宋" w:eastAsia="仿宋" w:cs="仿宋"/>
          <w:bCs/>
          <w:sz w:val="28"/>
          <w:szCs w:val="28"/>
        </w:rPr>
        <w:t>，评审结束后，</w:t>
      </w:r>
      <w:r>
        <w:rPr>
          <w:rFonts w:hint="eastAsia" w:ascii="仿宋" w:hAnsi="仿宋" w:eastAsia="仿宋" w:cs="仿宋"/>
          <w:sz w:val="28"/>
          <w:szCs w:val="28"/>
        </w:rPr>
        <w:t>采购代理机构</w:t>
      </w:r>
      <w:r>
        <w:rPr>
          <w:rFonts w:hint="eastAsia" w:ascii="仿宋" w:hAnsi="仿宋" w:eastAsia="仿宋" w:cs="仿宋"/>
          <w:bCs/>
          <w:sz w:val="28"/>
          <w:szCs w:val="28"/>
        </w:rPr>
        <w:t>将不再告知未通过资格审查或符合性审查的原因。</w:t>
      </w:r>
    </w:p>
    <w:p w14:paraId="47D13809">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3.2</w:t>
      </w:r>
      <w:r>
        <w:rPr>
          <w:rFonts w:hint="eastAsia" w:ascii="仿宋" w:hAnsi="仿宋" w:eastAsia="仿宋" w:cs="仿宋"/>
          <w:bCs/>
          <w:sz w:val="28"/>
          <w:szCs w:val="28"/>
        </w:rPr>
        <w:t>询价小组将对确定为实质性响应的响应进行进一步审核，看其是否有计算</w:t>
      </w:r>
      <w:r>
        <w:rPr>
          <w:rFonts w:hint="eastAsia" w:ascii="仿宋" w:hAnsi="仿宋" w:eastAsia="仿宋" w:cs="仿宋"/>
          <w:sz w:val="28"/>
          <w:szCs w:val="28"/>
        </w:rPr>
        <w:t>上或累加上的算术错误，修正错误的原则如下：</w:t>
      </w:r>
    </w:p>
    <w:p w14:paraId="405F8C15">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（1）响应文件中询价报价表内容与响应文件中相应内容不一致的，以询价报价表为准。</w:t>
      </w:r>
    </w:p>
    <w:p w14:paraId="2C8DE12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（2）大写金额和小写金额不一致的，以大写金额为准。</w:t>
      </w:r>
    </w:p>
    <w:p w14:paraId="5A03D27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（3）总价金额与按单价汇总金额不一致的，以单价金额计算结果为准。</w:t>
      </w:r>
    </w:p>
    <w:p w14:paraId="5FACE5C8">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同时出现两种以上错误的，按照前款规定的顺序修正。</w:t>
      </w:r>
    </w:p>
    <w:p w14:paraId="06F8145C">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3.3询价小组将按上述修正错误的方法调整响应文件中的响应报价，并告知响应供应商，调整后的价格应对响应供应商具有约束力。如果响应供应商不接受修正后的价格，则其响应将被拒绝。</w:t>
      </w:r>
    </w:p>
    <w:p w14:paraId="7631B3B5">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3.4本采购项目为一个完整标的，询价小组不接受不完整的响应报价。响应供应商或其授权委托人必须对所有项目分别报单价，并合计总价。询价小组有权将未按规定填写的报价视为无效响应。</w:t>
      </w:r>
    </w:p>
    <w:p w14:paraId="6BC81FF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3.5询价小组允许修正响应文件中不构成重大偏离的、微小的、非正规的、不一致的或不规则的地方，但这些修改不能影响任何响应供应商相应的名次排列。</w:t>
      </w:r>
    </w:p>
    <w:p w14:paraId="778002D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04FA4C3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非单一产品采购项目，采购文件中将载明其中的核心产品。多家响应供应商提供的核心产品为同一品牌同一型号的，按前款规定处理。</w:t>
      </w:r>
    </w:p>
    <w:p w14:paraId="114AF74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3.7响应供应商在询价采购活动全过程中应保持通讯畅通，并安排专人与采购代理机构及询价小组联系。</w:t>
      </w:r>
    </w:p>
    <w:p w14:paraId="03FC5C92">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4.无效响应及废标情形</w:t>
      </w:r>
    </w:p>
    <w:p w14:paraId="03780C5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4.1符合下列情形之一者，响应供应商响应无效：</w:t>
      </w:r>
    </w:p>
    <w:p w14:paraId="2F7EC53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（1）响应供应商未按本采购文件要求上传响应文件电子文档的，或上传的文件打不开的；</w:t>
      </w:r>
    </w:p>
    <w:p w14:paraId="2D5FC33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（2）同一响应供应商提交两个（含两个）以上不同的响应报价的；</w:t>
      </w:r>
    </w:p>
    <w:p w14:paraId="4DD1DE3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（3）响应供应商不具备采购文件中规定资格要求的；</w:t>
      </w:r>
    </w:p>
    <w:p w14:paraId="0746C2C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（4）响应供应商的报价超过了采购预算或最高限价的；</w:t>
      </w:r>
    </w:p>
    <w:p w14:paraId="40AAAA6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（5）未通过资格性、符合性审查的；</w:t>
      </w:r>
    </w:p>
    <w:p w14:paraId="6E58ED8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（6）不符合询价采购文件中规定的其他实质性要求和条件的；</w:t>
      </w:r>
    </w:p>
    <w:p w14:paraId="649DAE1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102C4BA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w:t>
      </w:r>
      <w:r>
        <w:rPr>
          <w:rFonts w:hint="eastAsia" w:ascii="仿宋" w:hAnsi="仿宋" w:eastAsia="仿宋" w:cs="仿宋"/>
          <w:bCs/>
          <w:sz w:val="28"/>
          <w:szCs w:val="28"/>
        </w:rPr>
        <w:t>响应文件含有采购人不能接受的附加条件的；</w:t>
      </w:r>
    </w:p>
    <w:p w14:paraId="0E5EE7F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w:t>
      </w:r>
      <w:r>
        <w:rPr>
          <w:rFonts w:hint="eastAsia" w:ascii="仿宋" w:hAnsi="仿宋" w:eastAsia="仿宋" w:cs="仿宋"/>
          <w:bCs/>
          <w:sz w:val="28"/>
          <w:szCs w:val="28"/>
        </w:rPr>
        <w:t>本项目采购产品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8"/>
          <w:szCs w:val="28"/>
        </w:rPr>
        <w:t>；</w:t>
      </w:r>
    </w:p>
    <w:p w14:paraId="69F68FB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w:t>
      </w:r>
      <w:r>
        <w:rPr>
          <w:rFonts w:hint="eastAsia" w:ascii="仿宋" w:hAnsi="仿宋" w:eastAsia="仿宋" w:cs="仿宋"/>
          <w:bCs/>
          <w:sz w:val="28"/>
          <w:szCs w:val="28"/>
        </w:rPr>
        <w:t>响应文件未按照采购文件要求加盖电子签章</w:t>
      </w:r>
      <w:r>
        <w:rPr>
          <w:rFonts w:hint="eastAsia" w:ascii="仿宋" w:hAnsi="仿宋" w:eastAsia="仿宋" w:cs="仿宋"/>
          <w:sz w:val="28"/>
          <w:szCs w:val="28"/>
        </w:rPr>
        <w:t>；</w:t>
      </w:r>
    </w:p>
    <w:p w14:paraId="32F4C2F7">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（11）不同供应商的响应文件经系统查询Mac地址、标书制作工具客户端标识码一致的。（符合本条款不同的供应商不得参加本项目的后续采购事项，并移送政府采购监管部门进行处理。）</w:t>
      </w:r>
    </w:p>
    <w:p w14:paraId="72E842E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w:t>
      </w:r>
      <w:r>
        <w:rPr>
          <w:rFonts w:hint="eastAsia" w:ascii="仿宋" w:hAnsi="仿宋" w:eastAsia="仿宋" w:cs="仿宋"/>
          <w:bCs/>
          <w:sz w:val="28"/>
          <w:szCs w:val="28"/>
        </w:rPr>
        <w:t>其他法律、法规及本采购文件规定的属无效响应的情形</w:t>
      </w:r>
      <w:r>
        <w:rPr>
          <w:rFonts w:hint="eastAsia" w:ascii="仿宋" w:hAnsi="仿宋" w:eastAsia="仿宋" w:cs="仿宋"/>
          <w:sz w:val="28"/>
          <w:szCs w:val="28"/>
        </w:rPr>
        <w:t>。</w:t>
      </w:r>
    </w:p>
    <w:p w14:paraId="535AF16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4.2符合下列情形之一者，本采购项目废标：</w:t>
      </w:r>
    </w:p>
    <w:p w14:paraId="62EBEED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bCs/>
          <w:sz w:val="28"/>
          <w:szCs w:val="28"/>
        </w:rPr>
        <w:t>符合专业条件的供应商或者对采购文件作实质响应的供应商不足三家的</w:t>
      </w:r>
      <w:r>
        <w:rPr>
          <w:rFonts w:hint="eastAsia" w:ascii="仿宋" w:hAnsi="仿宋" w:eastAsia="仿宋" w:cs="仿宋"/>
          <w:sz w:val="28"/>
          <w:szCs w:val="28"/>
        </w:rPr>
        <w:t>；</w:t>
      </w:r>
    </w:p>
    <w:p w14:paraId="1036493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（2）所有合格响应供应商的报价均超过本项目预算金额或最高限价的；</w:t>
      </w:r>
    </w:p>
    <w:p w14:paraId="0DA42CD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（3）出现影响采购公正的违法、违规行为的；</w:t>
      </w:r>
    </w:p>
    <w:p w14:paraId="6E58BD6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（4）因重大变故，采购任务取消的；</w:t>
      </w:r>
    </w:p>
    <w:p w14:paraId="5D66B99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废标后，对于特殊紧急的采购项目，经监管部门批准后采购人可直接改变采购方式，现场继续组织采购活动。</w:t>
      </w:r>
    </w:p>
    <w:p w14:paraId="48EB817E">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六</w:t>
      </w:r>
      <w:r>
        <w:rPr>
          <w:rFonts w:hint="eastAsia" w:ascii="仿宋" w:hAnsi="仿宋" w:eastAsia="仿宋" w:cs="仿宋"/>
          <w:b/>
          <w:bCs/>
          <w:sz w:val="28"/>
          <w:szCs w:val="28"/>
        </w:rPr>
        <w:t>、成交原则</w:t>
      </w:r>
    </w:p>
    <w:p w14:paraId="0DD3A73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1.确定成交单位</w:t>
      </w:r>
    </w:p>
    <w:p w14:paraId="0BC3177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1.1询价小组将从质量和服务均能满足采购文件实质性响应要求的供应商中，按照报价由低到高顺序推荐1名成交候选供应商，若报价相同时则通过抽签</w:t>
      </w:r>
      <w:r>
        <w:rPr>
          <w:rFonts w:hint="eastAsia" w:ascii="仿宋" w:hAnsi="仿宋" w:eastAsia="仿宋" w:cs="仿宋"/>
          <w:sz w:val="28"/>
          <w:szCs w:val="28"/>
          <w:highlight w:val="none"/>
        </w:rPr>
        <w:t>方式随机确定排名顺序，并编写评审报告。</w:t>
      </w:r>
    </w:p>
    <w:p w14:paraId="5668F1D2">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采购人应按照询价小组推荐的成交候选供应商确定成交供应商。</w:t>
      </w:r>
    </w:p>
    <w:p w14:paraId="6847C5F7">
      <w:pPr>
        <w:adjustRightInd w:val="0"/>
        <w:snapToGrid w:val="0"/>
        <w:spacing w:line="500" w:lineRule="exact"/>
        <w:ind w:firstLine="560" w:firstLineChars="2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1.2专门面向中小企业采购的项目或者采购包，不再执行价格评审优惠的扶持政策。</w:t>
      </w:r>
    </w:p>
    <w:p w14:paraId="6C9345D2">
      <w:pPr>
        <w:adjustRightInd w:val="0"/>
        <w:snapToGrid w:val="0"/>
        <w:spacing w:line="500" w:lineRule="exact"/>
        <w:ind w:firstLine="560" w:firstLineChars="2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1.3非专门面向中小企业采购的项目或者采购包，执行以下价格评审优惠的扶持政策。</w:t>
      </w:r>
    </w:p>
    <w:p w14:paraId="38E67263">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（1）小微型企业价格扣除：</w:t>
      </w:r>
    </w:p>
    <w:p w14:paraId="7ED17D85">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\o\ac(○,1)</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对小型和微型企业产品给予10%的扣除价格，用扣除后的价格参与评审。</w:t>
      </w:r>
    </w:p>
    <w:p w14:paraId="7666ED3C">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\o\ac(○,2)</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供应商需按照《政府采购促进中小企业发展管理办法》（财库〔2020〕46号）的规定提供相应的《中小企业声明函》。</w:t>
      </w:r>
    </w:p>
    <w:p w14:paraId="6FCAAFC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\o\ac(○,3)</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企业标准请参照《关于印发中小企业划型标准规定的通知》（工信部联企业</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2011</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300号）文件规定自行填写。</w:t>
      </w:r>
    </w:p>
    <w:p w14:paraId="15BBA64D">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（2）残疾人福利单位价格扣除：</w:t>
      </w:r>
    </w:p>
    <w:p w14:paraId="19C68B56">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\o\ac(○,1)</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对残疾人福利性单位，给予10%的价格扣除，用扣除后的价格参与评审。</w:t>
      </w:r>
    </w:p>
    <w:p w14:paraId="04A16ABA">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\o\ac(○,2)</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残疾人福利单位需按照采购文件的要求提供《残疾人福利性单位声明函》。</w:t>
      </w:r>
    </w:p>
    <w:p w14:paraId="1A511E82">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\o\ac(○,3)</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残疾人福利单位标准请参照《关于促进残疾人就业政府采购政策的通知》（财库〔2017〕141号）。</w:t>
      </w:r>
    </w:p>
    <w:p w14:paraId="371BADC8">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（3）监狱和戒毒企业价格扣除</w:t>
      </w:r>
    </w:p>
    <w:p w14:paraId="132D3A01">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\o\ac(○,1)</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对监狱和戒毒企业（简称监狱企业）给予10%的价格扣除，用扣除后的价格参与评审。</w:t>
      </w:r>
    </w:p>
    <w:p w14:paraId="1DE68AD4">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\o\ac(○,2)</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监狱企业参加政府采购活动时，需提供由省级以上监狱管理局、戒毒管理局(含新疆生产建设兵团)出具的属于监狱企业的证明文件。供应商如不提供上述证明文件，价格将不做相应扣除。</w:t>
      </w:r>
    </w:p>
    <w:p w14:paraId="335F0ADF">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\o\ac(○,3)</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监狱企业标准请参照《关于政府采购支持监狱企业发展有关问题的通知》（财库〔2014</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68号）。</w:t>
      </w:r>
    </w:p>
    <w:p w14:paraId="78A734FF">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（4）残疾人福利单位、监狱企业属于小型、微型企业的，不重复享受政策。</w:t>
      </w:r>
    </w:p>
    <w:p w14:paraId="7C6BE28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1F3BE94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（6）联合体各方均为小型、微型企业（残疾人福利单位、监狱企业）的，联合体享受上述同类价格扣除，用扣除后的价格参与评审。</w:t>
      </w:r>
    </w:p>
    <w:p w14:paraId="7E1D08D9">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如出现供应商最低报价相同的情况，则优先采购“环境标志产品”或“节能产品”。</w:t>
      </w:r>
    </w:p>
    <w:p w14:paraId="3AE96338">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（1）如出现最低报价相同，且响应产品均属于“环境标志产品”和“节能产品”，则将优先采购交货期短者。</w:t>
      </w:r>
    </w:p>
    <w:p w14:paraId="269034E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（2）如出现最低报价相同，且响应产品不能同时满足“环境标志产品”和“节能产品”（只能满足其中一项），则将优先采购交货期短者。</w:t>
      </w:r>
    </w:p>
    <w:p w14:paraId="05499E4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5</w:t>
      </w:r>
      <w:r>
        <w:rPr>
          <w:rFonts w:hint="eastAsia" w:ascii="仿宋" w:hAnsi="仿宋" w:eastAsia="仿宋" w:cs="仿宋"/>
          <w:sz w:val="28"/>
          <w:szCs w:val="28"/>
        </w:rPr>
        <w:t>如出现供应商最低报价相同的情况，且响应产品均不是“环境标志产品”或“节能产品”，则将优先采购交货期短者。</w:t>
      </w:r>
    </w:p>
    <w:p w14:paraId="74495A3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对于同时列入环境标志产品政府采购品目清单和节能产品政府采购品目清单的产品，则其优先于只列入其中一个品目清单的产品。</w:t>
      </w:r>
    </w:p>
    <w:p w14:paraId="3D16BCB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环境标志产品是指列入财政部、生态环境部最新公布的《环境标志产品政府采购品目清单》内的产品。</w:t>
      </w:r>
    </w:p>
    <w:p w14:paraId="2C52459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节能产品是指列入财政部、国家发展和改革委员会最新公布的《节能产品政府采购品目清单》内的产品。</w:t>
      </w:r>
    </w:p>
    <w:p w14:paraId="6B44A9E3">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注意：响应主要产品如为节能及环境标志产品的，响应供应商必须提供有关证明材料。</w:t>
      </w:r>
    </w:p>
    <w:p w14:paraId="4436693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6</w:t>
      </w:r>
      <w:r>
        <w:rPr>
          <w:rFonts w:hint="eastAsia" w:ascii="仿宋" w:hAnsi="仿宋" w:eastAsia="仿宋" w:cs="仿宋"/>
          <w:sz w:val="28"/>
          <w:szCs w:val="28"/>
        </w:rPr>
        <w:t>成交结果公告</w:t>
      </w:r>
    </w:p>
    <w:p w14:paraId="766F57A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采购代理机构将在江苏政府采购网发布成交公告，公告期限为1个工作日。</w:t>
      </w:r>
    </w:p>
    <w:p w14:paraId="288227A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7</w:t>
      </w:r>
      <w:r>
        <w:rPr>
          <w:rFonts w:hint="eastAsia" w:ascii="仿宋" w:hAnsi="仿宋" w:eastAsia="仿宋" w:cs="仿宋"/>
          <w:sz w:val="28"/>
          <w:szCs w:val="28"/>
        </w:rPr>
        <w:t>若有充分证据证明，成交供应商出现下列情况之一的，一经查实，将被取消成交资格：</w:t>
      </w:r>
    </w:p>
    <w:p w14:paraId="24386C9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（1）提供虚假材料谋取成交的；</w:t>
      </w:r>
    </w:p>
    <w:p w14:paraId="23ABA44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（2）向采购人、采购代理机构行贿或者提供其他不正当利益的；</w:t>
      </w:r>
    </w:p>
    <w:p w14:paraId="0ACAA23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（3）恶意竞争，响应总报价明显低于其自身合理成本且又无法提供证明的；</w:t>
      </w:r>
    </w:p>
    <w:p w14:paraId="1ABF0BE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（4）属于本文件规定的无效条件，但在评审过程中又未被询价小组发现的；</w:t>
      </w:r>
    </w:p>
    <w:p w14:paraId="2E39500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（5）与采购人或者其他供应商恶意串通的；</w:t>
      </w:r>
    </w:p>
    <w:p w14:paraId="67C0CB1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（6）采取不正当手段诋毁、排挤其他供应商的；</w:t>
      </w:r>
    </w:p>
    <w:p w14:paraId="6A3C901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（7）如有涉及对采购文件实质性内容的隐瞒、欺诈或违法违规行为的。</w:t>
      </w:r>
    </w:p>
    <w:p w14:paraId="3071A96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8</w:t>
      </w:r>
      <w:r>
        <w:rPr>
          <w:rFonts w:hint="eastAsia" w:ascii="仿宋" w:hAnsi="仿宋" w:eastAsia="仿宋" w:cs="仿宋"/>
          <w:sz w:val="28"/>
          <w:szCs w:val="28"/>
        </w:rPr>
        <w:t>有下列情形之一的，视为响应供应商串通响应，响应无效：</w:t>
      </w:r>
    </w:p>
    <w:p w14:paraId="137D0B2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（1）不同响应供应商的响应文件由同一单位或者个人编制；</w:t>
      </w:r>
    </w:p>
    <w:p w14:paraId="3F224B4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（2）不同响应供应商委托同一单位或者个人办理响应事宜；</w:t>
      </w:r>
    </w:p>
    <w:p w14:paraId="21AF011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（3）不同响应供应商的响应文件载明的项目管理成员或者联系人员为同一人；</w:t>
      </w:r>
    </w:p>
    <w:p w14:paraId="51CAAE5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（4）不同响应供应商的响应文件异常一致或者响应报价呈规律性差异；</w:t>
      </w:r>
    </w:p>
    <w:p w14:paraId="678E522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（5）不同响应供应商的响应文件相互混装。</w:t>
      </w:r>
    </w:p>
    <w:p w14:paraId="59F1D41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2.质疑处理</w:t>
      </w:r>
    </w:p>
    <w:p w14:paraId="2D626C3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提出质疑的供应商应当是参与所质疑项目采购活动的供应商。潜在供应商依法获取其可质疑的采购文件的，可以对采购文件提出质疑。</w:t>
      </w:r>
    </w:p>
    <w:p w14:paraId="33DE6F78">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2.2供应商认为采购文件、采购过程和采购结果使自己的权益受到损害的，可以在知道或应知其权益受到损害之日起七个工作日内，以书面形式向采购代理机构或采购人提出质疑。上述应知其权益受到损害之日，是指：</w:t>
      </w:r>
    </w:p>
    <w:p w14:paraId="7767213D">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（1）</w:t>
      </w:r>
      <w:r>
        <w:rPr>
          <w:rFonts w:hint="eastAsia" w:ascii="仿宋" w:hAnsi="仿宋" w:eastAsia="仿宋" w:cs="仿宋"/>
          <w:kern w:val="0"/>
          <w:sz w:val="28"/>
          <w:szCs w:val="28"/>
        </w:rPr>
        <w:t>对可以质疑的采购文件提出质疑的，为收到采购文件之日或者采购文件公告期限届满之日；</w:t>
      </w:r>
    </w:p>
    <w:p w14:paraId="4A730869">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（2）</w:t>
      </w:r>
      <w:r>
        <w:rPr>
          <w:rFonts w:hint="eastAsia" w:ascii="仿宋" w:hAnsi="仿宋" w:eastAsia="仿宋" w:cs="仿宋"/>
          <w:kern w:val="0"/>
          <w:sz w:val="28"/>
          <w:szCs w:val="28"/>
        </w:rPr>
        <w:t>对采购过程提出质疑的，为各采购程序环节结束之日；</w:t>
      </w:r>
    </w:p>
    <w:p w14:paraId="3A1689AC">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（3）</w:t>
      </w:r>
      <w:r>
        <w:rPr>
          <w:rFonts w:hint="eastAsia" w:ascii="仿宋" w:hAnsi="仿宋" w:eastAsia="仿宋" w:cs="仿宋"/>
          <w:kern w:val="0"/>
          <w:sz w:val="28"/>
          <w:szCs w:val="28"/>
        </w:rPr>
        <w:t>对中标或者成交结果提出质疑的，为中标或者成交结果公告期限届满之日。</w:t>
      </w:r>
    </w:p>
    <w:p w14:paraId="0DAC6A0C">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供应商应当在法定质疑期内一次性提出针对同一采购程序环节的质疑。</w:t>
      </w:r>
    </w:p>
    <w:p w14:paraId="2A6D0AAE">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2.3质疑函必须按照本采购文件中《质疑函范本》（附件13）要求的格式和内容进行填写。供应商如组成联合体参加响应，则《质疑函范本》中要求签字、盖章、加盖公章之处，联合体各方均须按要求签字、盖章、加盖公章。</w:t>
      </w:r>
    </w:p>
    <w:p w14:paraId="343F7128">
      <w:pPr>
        <w:adjustRightInd w:val="0"/>
        <w:snapToGrid w:val="0"/>
        <w:spacing w:line="500" w:lineRule="exact"/>
        <w:ind w:firstLine="560" w:firstLineChars="200"/>
        <w:jc w:val="left"/>
        <w:rPr>
          <w:rFonts w:hint="eastAsia" w:ascii="仿宋" w:hAnsi="仿宋" w:eastAsia="仿宋" w:cs="仿宋"/>
          <w:b/>
          <w:sz w:val="28"/>
          <w:szCs w:val="28"/>
        </w:rPr>
      </w:pPr>
      <w:r>
        <w:rPr>
          <w:rFonts w:hint="eastAsia" w:ascii="仿宋" w:hAnsi="仿宋" w:eastAsia="仿宋" w:cs="仿宋"/>
          <w:sz w:val="28"/>
          <w:szCs w:val="28"/>
        </w:rPr>
        <w:t>2.4对采购方式、采购文件中项目需求、供应商资格条件等应当由采购人答复的质疑，请向采购人提出，由采购人负责答复。供应商对其他事项的质疑，请向采购代理机构提出，由采购代理机构负责答复。</w:t>
      </w:r>
    </w:p>
    <w:p w14:paraId="00E4CB00">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供应商于法定期限内提起质疑，向采购人或采购代理机构以书面形式提交质疑函。</w:t>
      </w:r>
    </w:p>
    <w:p w14:paraId="644C6CB4">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采购人质疑接收人及联系方式，见采购文件第一部分。</w:t>
      </w:r>
    </w:p>
    <w:p w14:paraId="62F32DF3">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2.5 以下情形的质疑不予受理</w:t>
      </w:r>
    </w:p>
    <w:p w14:paraId="2636B28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（1）内容不符合《政府采购质疑和投诉办法》第十二条规定的质疑。</w:t>
      </w:r>
    </w:p>
    <w:p w14:paraId="1B6C749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（2）超出政府采购法定期限的质疑。</w:t>
      </w:r>
    </w:p>
    <w:p w14:paraId="2AC15C2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（3）未参加响应活动的供应商或在响应活动中自身权益未受到损害的供应商所提出的质疑。</w:t>
      </w:r>
    </w:p>
    <w:p w14:paraId="56F9572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（4）供应商组成联合体参加响应，联合体中任何一方或多方未按要求签字、盖章、加盖公章的质疑。</w:t>
      </w:r>
    </w:p>
    <w:p w14:paraId="369241B9">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2.6 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14:paraId="23F03106">
      <w:pPr>
        <w:numPr>
          <w:ilvl w:val="0"/>
          <w:numId w:val="1"/>
        </w:numPr>
        <w:adjustRightInd w:val="0"/>
        <w:snapToGrid w:val="0"/>
        <w:spacing w:line="500" w:lineRule="exact"/>
        <w:ind w:firstLine="489"/>
        <w:rPr>
          <w:rFonts w:hint="eastAsia" w:ascii="仿宋" w:hAnsi="仿宋" w:eastAsia="仿宋" w:cs="仿宋"/>
          <w:sz w:val="28"/>
          <w:szCs w:val="28"/>
        </w:rPr>
      </w:pPr>
      <w:r>
        <w:rPr>
          <w:rFonts w:hint="eastAsia" w:ascii="仿宋" w:hAnsi="仿宋" w:eastAsia="仿宋" w:cs="仿宋"/>
          <w:sz w:val="28"/>
          <w:szCs w:val="28"/>
        </w:rPr>
        <w:t>成交通知书</w:t>
      </w:r>
    </w:p>
    <w:p w14:paraId="50956C59">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公告成交结果的同时，交易中心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F6A82E1">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成交通知书发出后，采购人不得违法改变成交结果，成交供应商无正当理由不得放弃成交。</w:t>
      </w:r>
    </w:p>
    <w:p w14:paraId="042B9E79">
      <w:pPr>
        <w:adjustRightInd w:val="0"/>
        <w:snapToGrid w:val="0"/>
        <w:spacing w:line="500" w:lineRule="exact"/>
        <w:ind w:firstLine="546" w:firstLineChars="195"/>
        <w:rPr>
          <w:rFonts w:hint="eastAsia" w:ascii="仿宋" w:hAnsi="仿宋" w:eastAsia="仿宋" w:cs="仿宋"/>
          <w:b/>
          <w:sz w:val="28"/>
          <w:szCs w:val="28"/>
        </w:rPr>
      </w:pPr>
      <w:r>
        <w:rPr>
          <w:rFonts w:hint="eastAsia" w:ascii="仿宋" w:hAnsi="仿宋" w:eastAsia="仿宋" w:cs="仿宋"/>
          <w:b/>
          <w:sz w:val="28"/>
          <w:szCs w:val="28"/>
        </w:rPr>
        <w:t>成交供应商须提供四份纸质版响应文件至采购代理机构处，否则不予签订合同。</w:t>
      </w:r>
    </w:p>
    <w:p w14:paraId="186B4C4B">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、授予合同</w:t>
      </w:r>
    </w:p>
    <w:p w14:paraId="675AA5E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1.签订合同</w:t>
      </w:r>
    </w:p>
    <w:p w14:paraId="1B9B3B6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1.1成交供应商应当在成交通知书发出之日起三十日内，按照采购文件确定的事项与采购人签订政府采购合同。</w:t>
      </w:r>
    </w:p>
    <w:p w14:paraId="2D439A6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1.2采购文件、成交供应商的响应文件及采购过程中有关澄清、承诺文件均应作为合同附件。</w:t>
      </w:r>
    </w:p>
    <w:p w14:paraId="1586C75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6E9A4CB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2.货物和服务的追加、减少和添购</w:t>
      </w:r>
    </w:p>
    <w:p w14:paraId="307DE8D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695A4A5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2.2采购结束后，采购人若由于各种客观原因，必须对采购项目所牵涉的货物和服务进行适当的减少时，在双方协商一致的前提下，可以按照询价采购时的价格水平做相应的调减，并据此签订补充合同。</w:t>
      </w:r>
    </w:p>
    <w:p w14:paraId="47E3857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3.合同信用融资扶持政策</w:t>
      </w:r>
    </w:p>
    <w:p w14:paraId="7E84CC9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47AAE32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sz w:val="28"/>
          <w:szCs w:val="28"/>
          <w:lang w:val="en-US" w:eastAsia="zh-CN"/>
        </w:rPr>
        <w:t>八</w:t>
      </w:r>
      <w:r>
        <w:rPr>
          <w:rFonts w:hint="eastAsia" w:ascii="仿宋" w:hAnsi="仿宋" w:eastAsia="仿宋" w:cs="仿宋"/>
          <w:b/>
          <w:sz w:val="28"/>
          <w:szCs w:val="28"/>
        </w:rPr>
        <w:t>、其他说明</w:t>
      </w:r>
    </w:p>
    <w:p w14:paraId="01D91E8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1.法定代表人为同一个人的两个及两个以上法人，母公司、全资子公司及其控股公司，只能有一家单位参加本项目的响应。</w:t>
      </w:r>
    </w:p>
    <w:p w14:paraId="0174958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2.采购代理机构和询价小组不向未成交的响应供应商解释未成交原因，也不公布评审过程中的相关细节。</w:t>
      </w:r>
    </w:p>
    <w:p w14:paraId="709850C0">
      <w:pPr>
        <w:adjustRightInd w:val="0"/>
        <w:snapToGrid w:val="0"/>
        <w:spacing w:line="500" w:lineRule="exact"/>
        <w:ind w:firstLine="560" w:firstLineChars="200"/>
        <w:rPr>
          <w:rFonts w:hint="eastAsia" w:ascii="宋体" w:hAnsi="宋体"/>
          <w:sz w:val="28"/>
          <w:szCs w:val="28"/>
        </w:rPr>
      </w:pPr>
    </w:p>
    <w:p w14:paraId="1E5ED340">
      <w:pPr>
        <w:adjustRightInd w:val="0"/>
        <w:snapToGrid w:val="0"/>
        <w:spacing w:line="500" w:lineRule="exact"/>
        <w:rPr>
          <w:rFonts w:hint="eastAsia" w:ascii="宋体" w:hAnsi="宋体" w:cs="宋体"/>
          <w:bCs/>
          <w:sz w:val="36"/>
          <w:szCs w:val="36"/>
        </w:rPr>
      </w:pPr>
      <w:r>
        <w:rPr>
          <w:rFonts w:hint="eastAsia" w:ascii="宋体" w:hAnsi="宋体" w:cs="宋体"/>
          <w:bCs/>
          <w:sz w:val="36"/>
          <w:szCs w:val="36"/>
        </w:rPr>
        <w:br w:type="page"/>
      </w:r>
    </w:p>
    <w:p w14:paraId="36DB0E80">
      <w:pPr>
        <w:pStyle w:val="3"/>
        <w:widowControl/>
        <w:adjustRightInd w:val="0"/>
        <w:snapToGrid w:val="0"/>
        <w:spacing w:before="0" w:after="0" w:line="500" w:lineRule="exact"/>
        <w:jc w:val="center"/>
        <w:rPr>
          <w:rFonts w:hint="eastAsia" w:ascii="宋体" w:hAnsi="宋体" w:cs="宋体"/>
          <w:b w:val="0"/>
          <w:sz w:val="36"/>
          <w:szCs w:val="36"/>
        </w:rPr>
      </w:pPr>
      <w:r>
        <w:rPr>
          <w:rFonts w:hint="eastAsia" w:ascii="仿宋" w:hAnsi="仿宋" w:eastAsia="仿宋" w:cs="仿宋"/>
          <w:bCs/>
          <w:sz w:val="36"/>
          <w:szCs w:val="36"/>
        </w:rPr>
        <w:t>第三部分  项目需求</w:t>
      </w:r>
    </w:p>
    <w:p w14:paraId="0CC80C96">
      <w:pPr>
        <w:adjustRightInd w:val="0"/>
        <w:snapToGrid w:val="0"/>
        <w:spacing w:line="500" w:lineRule="exact"/>
        <w:ind w:firstLine="560" w:firstLineChars="200"/>
        <w:rPr>
          <w:rFonts w:hint="eastAsia" w:ascii="仿宋" w:hAnsi="仿宋" w:eastAsia="仿宋" w:cs="仿宋"/>
          <w:b/>
          <w:bCs/>
          <w:sz w:val="28"/>
          <w:szCs w:val="28"/>
        </w:rPr>
      </w:pPr>
      <w:bookmarkStart w:id="52" w:name="_Toc82505662"/>
      <w:r>
        <w:rPr>
          <w:rFonts w:hint="eastAsia" w:ascii="仿宋" w:hAnsi="仿宋" w:eastAsia="仿宋" w:cs="仿宋"/>
          <w:b/>
          <w:bCs/>
          <w:sz w:val="28"/>
          <w:szCs w:val="28"/>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1977FED">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5C139218">
      <w:pPr>
        <w:adjustRightInd w:val="0"/>
        <w:snapToGrid w:val="0"/>
        <w:spacing w:line="50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项目需求内容：</w:t>
      </w:r>
    </w:p>
    <w:p w14:paraId="75D88B3E">
      <w:pPr>
        <w:numPr>
          <w:ilvl w:val="0"/>
          <w:numId w:val="2"/>
        </w:num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采购内容：</w:t>
      </w:r>
    </w:p>
    <w:p w14:paraId="0F62B24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启东市工人电影院影厅设备采购及安装，具体详见《采购货物清单》：</w:t>
      </w:r>
    </w:p>
    <w:tbl>
      <w:tblPr>
        <w:tblStyle w:val="15"/>
        <w:tblW w:w="5123" w:type="pct"/>
        <w:tblInd w:w="0" w:type="dxa"/>
        <w:tblLayout w:type="fixed"/>
        <w:tblCellMar>
          <w:top w:w="0" w:type="dxa"/>
          <w:left w:w="108" w:type="dxa"/>
          <w:bottom w:w="0" w:type="dxa"/>
          <w:right w:w="108" w:type="dxa"/>
        </w:tblCellMar>
      </w:tblPr>
      <w:tblGrid>
        <w:gridCol w:w="2040"/>
        <w:gridCol w:w="5601"/>
        <w:gridCol w:w="406"/>
        <w:gridCol w:w="782"/>
      </w:tblGrid>
      <w:tr w14:paraId="069B2F3A">
        <w:tblPrEx>
          <w:tblCellMar>
            <w:top w:w="0" w:type="dxa"/>
            <w:left w:w="108" w:type="dxa"/>
            <w:bottom w:w="0" w:type="dxa"/>
            <w:right w:w="108" w:type="dxa"/>
          </w:tblCellMar>
        </w:tblPrEx>
        <w:trPr>
          <w:trHeight w:val="1248"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585DFEDF">
            <w:pPr>
              <w:widowControl/>
              <w:jc w:val="center"/>
              <w:textAlignment w:val="center"/>
              <w:rPr>
                <w:rFonts w:hint="eastAsia" w:ascii="等线" w:hAnsi="等线" w:eastAsia="等线" w:cs="等线"/>
                <w:b/>
                <w:bCs/>
                <w:color w:val="000000"/>
                <w:sz w:val="22"/>
                <w:szCs w:val="22"/>
              </w:rPr>
            </w:pPr>
            <w:r>
              <w:rPr>
                <w:rFonts w:hint="eastAsia" w:ascii="等线" w:hAnsi="等线" w:eastAsia="等线" w:cs="等线"/>
                <w:b/>
                <w:bCs/>
                <w:color w:val="000000"/>
                <w:kern w:val="0"/>
                <w:sz w:val="22"/>
                <w:szCs w:val="22"/>
                <w:lang w:bidi="ar"/>
              </w:rPr>
              <w:t>货物名称</w:t>
            </w:r>
          </w:p>
        </w:tc>
        <w:tc>
          <w:tcPr>
            <w:tcW w:w="3171" w:type="pct"/>
            <w:tcBorders>
              <w:top w:val="single" w:color="auto" w:sz="4" w:space="0"/>
              <w:left w:val="single" w:color="auto" w:sz="4" w:space="0"/>
              <w:right w:val="single" w:color="auto" w:sz="4" w:space="0"/>
            </w:tcBorders>
            <w:noWrap/>
            <w:vAlign w:val="center"/>
          </w:tcPr>
          <w:p w14:paraId="290789E1">
            <w:pPr>
              <w:widowControl/>
              <w:jc w:val="center"/>
              <w:textAlignment w:val="center"/>
              <w:rPr>
                <w:rFonts w:hint="eastAsia" w:ascii="等线" w:hAnsi="等线" w:eastAsia="等线" w:cs="等线"/>
                <w:b/>
                <w:bCs/>
                <w:color w:val="000000"/>
                <w:sz w:val="22"/>
                <w:szCs w:val="22"/>
              </w:rPr>
            </w:pPr>
            <w:r>
              <w:rPr>
                <w:rFonts w:hint="eastAsia" w:ascii="等线" w:hAnsi="等线" w:eastAsia="等线" w:cs="等线"/>
                <w:b/>
                <w:bCs/>
                <w:color w:val="000000"/>
                <w:kern w:val="0"/>
                <w:sz w:val="22"/>
                <w:szCs w:val="22"/>
                <w:lang w:bidi="ar"/>
              </w:rPr>
              <w:t>技术参数及要求</w:t>
            </w:r>
          </w:p>
        </w:tc>
        <w:tc>
          <w:tcPr>
            <w:tcW w:w="230" w:type="pct"/>
            <w:tcBorders>
              <w:top w:val="single" w:color="auto" w:sz="4" w:space="0"/>
              <w:left w:val="single" w:color="auto" w:sz="4" w:space="0"/>
              <w:bottom w:val="single" w:color="auto" w:sz="4" w:space="0"/>
              <w:right w:val="single" w:color="auto" w:sz="4" w:space="0"/>
            </w:tcBorders>
            <w:noWrap/>
            <w:vAlign w:val="center"/>
          </w:tcPr>
          <w:p w14:paraId="2141408D">
            <w:pPr>
              <w:widowControl/>
              <w:jc w:val="center"/>
              <w:textAlignment w:val="center"/>
              <w:rPr>
                <w:rFonts w:hint="eastAsia" w:ascii="等线" w:hAnsi="等线" w:eastAsia="等线" w:cs="等线"/>
                <w:b/>
                <w:bCs/>
                <w:color w:val="000000"/>
                <w:sz w:val="22"/>
                <w:szCs w:val="22"/>
              </w:rPr>
            </w:pPr>
            <w:r>
              <w:rPr>
                <w:rFonts w:hint="eastAsia" w:ascii="等线" w:hAnsi="等线" w:eastAsia="等线" w:cs="等线"/>
                <w:b/>
                <w:bCs/>
                <w:color w:val="000000"/>
                <w:kern w:val="0"/>
                <w:sz w:val="22"/>
                <w:szCs w:val="22"/>
                <w:lang w:bidi="ar"/>
              </w:rPr>
              <w:t>数量</w:t>
            </w:r>
          </w:p>
        </w:tc>
        <w:tc>
          <w:tcPr>
            <w:tcW w:w="443" w:type="pct"/>
            <w:tcBorders>
              <w:top w:val="single" w:color="auto" w:sz="4" w:space="0"/>
              <w:left w:val="single" w:color="auto" w:sz="4" w:space="0"/>
              <w:bottom w:val="single" w:color="auto" w:sz="4" w:space="0"/>
              <w:right w:val="single" w:color="auto" w:sz="4" w:space="0"/>
            </w:tcBorders>
            <w:noWrap/>
            <w:vAlign w:val="center"/>
          </w:tcPr>
          <w:p w14:paraId="5F562375">
            <w:pPr>
              <w:widowControl/>
              <w:jc w:val="center"/>
              <w:textAlignment w:val="center"/>
              <w:rPr>
                <w:rFonts w:hint="eastAsia" w:ascii="等线" w:hAnsi="等线" w:eastAsia="等线" w:cs="等线"/>
                <w:b/>
                <w:bCs/>
                <w:color w:val="000000"/>
                <w:sz w:val="22"/>
                <w:szCs w:val="22"/>
              </w:rPr>
            </w:pPr>
            <w:r>
              <w:rPr>
                <w:rFonts w:hint="eastAsia" w:ascii="等线" w:hAnsi="等线" w:eastAsia="等线" w:cs="等线"/>
                <w:b/>
                <w:bCs/>
                <w:color w:val="000000"/>
                <w:kern w:val="0"/>
                <w:sz w:val="22"/>
                <w:szCs w:val="22"/>
                <w:lang w:bidi="ar"/>
              </w:rPr>
              <w:t>计量单位</w:t>
            </w:r>
          </w:p>
        </w:tc>
      </w:tr>
      <w:tr w14:paraId="611B45B6">
        <w:tblPrEx>
          <w:tblCellMar>
            <w:top w:w="0" w:type="dxa"/>
            <w:left w:w="108" w:type="dxa"/>
            <w:bottom w:w="0" w:type="dxa"/>
            <w:right w:w="108" w:type="dxa"/>
          </w:tblCellMar>
        </w:tblPrEx>
        <w:trPr>
          <w:trHeight w:val="3015"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235CA72C">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放映机1</w:t>
            </w:r>
          </w:p>
        </w:tc>
        <w:tc>
          <w:tcPr>
            <w:tcW w:w="3171" w:type="pct"/>
            <w:tcBorders>
              <w:top w:val="single" w:color="auto" w:sz="4" w:space="0"/>
              <w:left w:val="single" w:color="auto" w:sz="4" w:space="0"/>
              <w:bottom w:val="single" w:color="auto" w:sz="4" w:space="0"/>
              <w:right w:val="single" w:color="auto" w:sz="4" w:space="0"/>
            </w:tcBorders>
          </w:tcPr>
          <w:p w14:paraId="348611BC">
            <w:pPr>
              <w:widowControl/>
              <w:jc w:val="left"/>
              <w:textAlignment w:val="top"/>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原始亮度≥6,000 流明（标准）原始对比度≥2000:1（标准）Digital MicroMirror Device™3 个 0.69 英寸 u2K分辨率2K：2048 x 1080色域兼容 DCI P3光源激光定焦镜头0.83-1.2, 1.2-1.7 , 1.34-1.9, 1.5-2.15 , 1.7-2.55 , 2.0-3.9</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高亮度和高对比度镜头</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长时间的亮度稳定性40000 小时（一般使用条件下）3D 系统支持在银幕上应用主动式眼镜系统和偏振式系统。激光分类Laser Class 1 - Risk Group 3用户界面触摸显示和/或基于 Web备注** 投影机配置带 ICP-D；上述参数为最低要求，投标品牌参数不得低于上述参数。  </w:t>
            </w:r>
          </w:p>
        </w:tc>
        <w:tc>
          <w:tcPr>
            <w:tcW w:w="230" w:type="pct"/>
            <w:tcBorders>
              <w:top w:val="single" w:color="auto" w:sz="4" w:space="0"/>
              <w:left w:val="single" w:color="auto" w:sz="4" w:space="0"/>
              <w:bottom w:val="single" w:color="auto" w:sz="4" w:space="0"/>
              <w:right w:val="single" w:color="auto" w:sz="4" w:space="0"/>
            </w:tcBorders>
            <w:noWrap/>
            <w:vAlign w:val="center"/>
          </w:tcPr>
          <w:p w14:paraId="16632F78">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1</w:t>
            </w:r>
          </w:p>
        </w:tc>
        <w:tc>
          <w:tcPr>
            <w:tcW w:w="443" w:type="pct"/>
            <w:tcBorders>
              <w:top w:val="single" w:color="auto" w:sz="4" w:space="0"/>
              <w:left w:val="single" w:color="auto" w:sz="4" w:space="0"/>
              <w:bottom w:val="single" w:color="auto" w:sz="4" w:space="0"/>
              <w:right w:val="single" w:color="auto" w:sz="4" w:space="0"/>
            </w:tcBorders>
            <w:noWrap/>
            <w:vAlign w:val="center"/>
          </w:tcPr>
          <w:p w14:paraId="7620BDB8">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台</w:t>
            </w:r>
          </w:p>
        </w:tc>
      </w:tr>
      <w:tr w14:paraId="77E7E6D3">
        <w:tblPrEx>
          <w:tblCellMar>
            <w:top w:w="0" w:type="dxa"/>
            <w:left w:w="108" w:type="dxa"/>
            <w:bottom w:w="0" w:type="dxa"/>
            <w:right w:w="108" w:type="dxa"/>
          </w:tblCellMar>
        </w:tblPrEx>
        <w:trPr>
          <w:trHeight w:val="2988"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6E4E3958">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放映机2</w:t>
            </w:r>
          </w:p>
        </w:tc>
        <w:tc>
          <w:tcPr>
            <w:tcW w:w="3171" w:type="pct"/>
            <w:tcBorders>
              <w:top w:val="single" w:color="auto" w:sz="4" w:space="0"/>
              <w:left w:val="single" w:color="auto" w:sz="4" w:space="0"/>
              <w:bottom w:val="single" w:color="auto" w:sz="4" w:space="0"/>
              <w:right w:val="single" w:color="auto" w:sz="4" w:space="0"/>
            </w:tcBorders>
          </w:tcPr>
          <w:p w14:paraId="49FAEA31">
            <w:pPr>
              <w:widowControl/>
              <w:jc w:val="left"/>
              <w:textAlignment w:val="top"/>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原始亮度≥8,000 流明（标准）原始对比度≥2000:1（标准）Digital MicroMirror Device™3 个 0.69 英寸 u2K分辨率2K：2048 x 1080色域兼容 DCI P3光源激光定焦镜头0.83-1.2, 1.2-1.7 , 1.34-1.9, 1.5-2.15 , 1.7-2.55 , 2.0-3.9</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高亮度和高对比度镜头</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长时间的亮度稳定性40000 小时（一般使用条件下）3D 系统支持在银幕上应用主动式眼镜系统和偏振式系统。激光分类Laser Class 1 - Risk Group 3用户界面触摸显示和/或基于 Web备注** 投影机配置带 ICP-D；上述参数为最低要求，投标品牌参数不得低于上述参数。 </w:t>
            </w:r>
          </w:p>
        </w:tc>
        <w:tc>
          <w:tcPr>
            <w:tcW w:w="230" w:type="pct"/>
            <w:tcBorders>
              <w:top w:val="single" w:color="auto" w:sz="4" w:space="0"/>
              <w:left w:val="single" w:color="auto" w:sz="4" w:space="0"/>
              <w:bottom w:val="single" w:color="auto" w:sz="4" w:space="0"/>
              <w:right w:val="single" w:color="auto" w:sz="4" w:space="0"/>
            </w:tcBorders>
            <w:noWrap/>
            <w:vAlign w:val="center"/>
          </w:tcPr>
          <w:p w14:paraId="39F73224">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w:t>
            </w:r>
          </w:p>
        </w:tc>
        <w:tc>
          <w:tcPr>
            <w:tcW w:w="443" w:type="pct"/>
            <w:tcBorders>
              <w:top w:val="single" w:color="auto" w:sz="4" w:space="0"/>
              <w:left w:val="single" w:color="auto" w:sz="4" w:space="0"/>
              <w:bottom w:val="single" w:color="auto" w:sz="4" w:space="0"/>
              <w:right w:val="single" w:color="auto" w:sz="4" w:space="0"/>
            </w:tcBorders>
            <w:noWrap/>
            <w:vAlign w:val="center"/>
          </w:tcPr>
          <w:p w14:paraId="5B4B6ED6">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台</w:t>
            </w:r>
          </w:p>
        </w:tc>
      </w:tr>
      <w:tr w14:paraId="5ED6AA9B">
        <w:tblPrEx>
          <w:tblCellMar>
            <w:top w:w="0" w:type="dxa"/>
            <w:left w:w="108" w:type="dxa"/>
            <w:bottom w:w="0" w:type="dxa"/>
            <w:right w:w="108" w:type="dxa"/>
          </w:tblCellMar>
        </w:tblPrEx>
        <w:trPr>
          <w:trHeight w:val="2937"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168F19C0">
            <w:pPr>
              <w:widowControl/>
              <w:jc w:val="center"/>
              <w:textAlignment w:val="center"/>
              <w:rPr>
                <w:rFonts w:hint="eastAsia" w:ascii="等线" w:hAnsi="等线" w:eastAsia="等线" w:cs="等线"/>
                <w:color w:val="000000"/>
                <w:kern w:val="0"/>
                <w:sz w:val="22"/>
                <w:szCs w:val="22"/>
                <w:lang w:bidi="ar"/>
              </w:rPr>
            </w:pPr>
          </w:p>
          <w:p w14:paraId="0ADBA036">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放映机3</w:t>
            </w:r>
          </w:p>
        </w:tc>
        <w:tc>
          <w:tcPr>
            <w:tcW w:w="3171" w:type="pct"/>
            <w:tcBorders>
              <w:top w:val="single" w:color="auto" w:sz="4" w:space="0"/>
              <w:left w:val="single" w:color="auto" w:sz="4" w:space="0"/>
              <w:bottom w:val="single" w:color="auto" w:sz="4" w:space="0"/>
              <w:right w:val="single" w:color="auto" w:sz="4" w:space="0"/>
            </w:tcBorders>
          </w:tcPr>
          <w:p w14:paraId="269DF9B5">
            <w:pPr>
              <w:widowControl/>
              <w:jc w:val="left"/>
              <w:textAlignment w:val="top"/>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原始亮度≥11,000 流明（标准）原始对比度≥2000:1（标准）Digital MicroMirror Device™3 个 0.69 英寸 u2K分辨率2K：2048 x 1080色域兼容 DCI P3光源激光定焦镜头0.83-1.2, 1.2-1.7 , 1.34-1.9, 1.5-2.15 , 1.7-2.55 , 2.0-3.9</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高亮度和高对比度镜头</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长时间的亮度稳定性40000 小时（一般使用条件下）3D 系统支持在银幕上应用主动式眼镜系统和偏振式系统。激光分类Laser Class 1 - Risk Group 3用户界面触摸显示和/或基于 Web备注** 投影机配置带 ICP-D；上述参数为最低要求，投标品牌参数不得低于上述参数。 </w:t>
            </w:r>
          </w:p>
        </w:tc>
        <w:tc>
          <w:tcPr>
            <w:tcW w:w="230" w:type="pct"/>
            <w:tcBorders>
              <w:top w:val="single" w:color="auto" w:sz="4" w:space="0"/>
              <w:left w:val="single" w:color="auto" w:sz="4" w:space="0"/>
              <w:bottom w:val="single" w:color="auto" w:sz="4" w:space="0"/>
              <w:right w:val="single" w:color="auto" w:sz="4" w:space="0"/>
            </w:tcBorders>
            <w:noWrap/>
            <w:vAlign w:val="center"/>
          </w:tcPr>
          <w:p w14:paraId="1581502D">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w:t>
            </w:r>
          </w:p>
        </w:tc>
        <w:tc>
          <w:tcPr>
            <w:tcW w:w="443" w:type="pct"/>
            <w:tcBorders>
              <w:top w:val="single" w:color="auto" w:sz="4" w:space="0"/>
              <w:left w:val="single" w:color="auto" w:sz="4" w:space="0"/>
              <w:bottom w:val="single" w:color="auto" w:sz="4" w:space="0"/>
              <w:right w:val="single" w:color="auto" w:sz="4" w:space="0"/>
            </w:tcBorders>
            <w:noWrap/>
            <w:vAlign w:val="center"/>
          </w:tcPr>
          <w:p w14:paraId="1CED8366">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台</w:t>
            </w:r>
          </w:p>
        </w:tc>
      </w:tr>
      <w:tr w14:paraId="4FBB5965">
        <w:tblPrEx>
          <w:tblCellMar>
            <w:top w:w="0" w:type="dxa"/>
            <w:left w:w="108" w:type="dxa"/>
            <w:bottom w:w="0" w:type="dxa"/>
            <w:right w:w="108" w:type="dxa"/>
          </w:tblCellMar>
        </w:tblPrEx>
        <w:trPr>
          <w:trHeight w:val="90"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6C5BF23E">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服务器</w:t>
            </w:r>
          </w:p>
        </w:tc>
        <w:tc>
          <w:tcPr>
            <w:tcW w:w="3171" w:type="pct"/>
            <w:tcBorders>
              <w:top w:val="single" w:color="auto" w:sz="4" w:space="0"/>
              <w:left w:val="single" w:color="auto" w:sz="4" w:space="0"/>
              <w:bottom w:val="single" w:color="auto" w:sz="4" w:space="0"/>
              <w:right w:val="single" w:color="auto" w:sz="4" w:space="0"/>
            </w:tcBorders>
          </w:tcPr>
          <w:p w14:paraId="1E6930FB">
            <w:pPr>
              <w:widowControl/>
              <w:numPr>
                <w:ilvl w:val="0"/>
                <w:numId w:val="3"/>
              </w:numPr>
              <w:jc w:val="left"/>
              <w:textAlignment w:val="top"/>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符合DCI标准</w:t>
            </w:r>
          </w:p>
          <w:p w14:paraId="4488DBC9">
            <w:pPr>
              <w:widowControl/>
              <w:numPr>
                <w:ilvl w:val="0"/>
                <w:numId w:val="3"/>
              </w:numPr>
              <w:jc w:val="left"/>
              <w:textAlignment w:val="top"/>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内置固态硬盘，采用 RAID 5 阵列，存储容量不低于6TB</w:t>
            </w:r>
          </w:p>
          <w:p w14:paraId="51647640">
            <w:pPr>
              <w:widowControl/>
              <w:numPr>
                <w:ilvl w:val="0"/>
                <w:numId w:val="3"/>
              </w:numPr>
              <w:jc w:val="left"/>
              <w:textAlignment w:val="top"/>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支持外部NAS扩展存储空间</w:t>
            </w:r>
          </w:p>
          <w:p w14:paraId="161952FD">
            <w:pPr>
              <w:widowControl/>
              <w:numPr>
                <w:ilvl w:val="0"/>
                <w:numId w:val="3"/>
              </w:numPr>
              <w:jc w:val="left"/>
              <w:textAlignment w:val="top"/>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支持2D/3D，2K/4K高帧率放映</w:t>
            </w:r>
          </w:p>
          <w:p w14:paraId="6491704D">
            <w:pPr>
              <w:widowControl/>
              <w:numPr>
                <w:ilvl w:val="0"/>
                <w:numId w:val="3"/>
              </w:numPr>
              <w:jc w:val="left"/>
              <w:textAlignment w:val="top"/>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支持杜比全景声</w:t>
            </w:r>
          </w:p>
          <w:p w14:paraId="79EB0997">
            <w:pPr>
              <w:widowControl/>
              <w:jc w:val="left"/>
              <w:textAlignment w:val="top"/>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48DBE0AA">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3</w:t>
            </w:r>
          </w:p>
        </w:tc>
        <w:tc>
          <w:tcPr>
            <w:tcW w:w="443" w:type="pct"/>
            <w:tcBorders>
              <w:top w:val="single" w:color="auto" w:sz="4" w:space="0"/>
              <w:left w:val="single" w:color="auto" w:sz="4" w:space="0"/>
              <w:bottom w:val="single" w:color="auto" w:sz="4" w:space="0"/>
              <w:right w:val="single" w:color="auto" w:sz="4" w:space="0"/>
            </w:tcBorders>
            <w:noWrap/>
            <w:vAlign w:val="center"/>
          </w:tcPr>
          <w:p w14:paraId="3646A882">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台</w:t>
            </w:r>
          </w:p>
        </w:tc>
      </w:tr>
      <w:tr w14:paraId="420C7DC2">
        <w:tblPrEx>
          <w:tblCellMar>
            <w:top w:w="0" w:type="dxa"/>
            <w:left w:w="108" w:type="dxa"/>
            <w:bottom w:w="0" w:type="dxa"/>
            <w:right w:w="108" w:type="dxa"/>
          </w:tblCellMar>
        </w:tblPrEx>
        <w:trPr>
          <w:trHeight w:val="2201"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61614D2F">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3D设备</w:t>
            </w:r>
          </w:p>
        </w:tc>
        <w:tc>
          <w:tcPr>
            <w:tcW w:w="3171" w:type="pct"/>
            <w:tcBorders>
              <w:top w:val="single" w:color="auto" w:sz="4" w:space="0"/>
              <w:left w:val="single" w:color="auto" w:sz="4" w:space="0"/>
              <w:bottom w:val="single" w:color="auto" w:sz="4" w:space="0"/>
              <w:right w:val="single" w:color="auto" w:sz="4" w:space="0"/>
            </w:tcBorders>
            <w:vAlign w:val="center"/>
          </w:tcPr>
          <w:p w14:paraId="6CDAE794">
            <w:pPr>
              <w:widowControl/>
              <w:numPr>
                <w:ilvl w:val="0"/>
                <w:numId w:val="4"/>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整机透光率: 不低于40%</w:t>
            </w:r>
          </w:p>
          <w:p w14:paraId="24F2FB00">
            <w:pPr>
              <w:widowControl/>
              <w:numPr>
                <w:ilvl w:val="0"/>
                <w:numId w:val="4"/>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 xml:space="preserve">光效: 不低于15% </w:t>
            </w:r>
          </w:p>
          <w:p w14:paraId="1893E793">
            <w:pPr>
              <w:widowControl/>
              <w:numPr>
                <w:ilvl w:val="0"/>
                <w:numId w:val="4"/>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对比度: 不低于500:1</w:t>
            </w:r>
          </w:p>
          <w:p w14:paraId="7D27AB32">
            <w:pPr>
              <w:widowControl/>
              <w:numPr>
                <w:ilvl w:val="0"/>
                <w:numId w:val="4"/>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 xml:space="preserve">重影率: 不高于0.5% </w:t>
            </w:r>
          </w:p>
          <w:p w14:paraId="75DF913A">
            <w:pPr>
              <w:widowControl/>
              <w:numPr>
                <w:ilvl w:val="0"/>
                <w:numId w:val="4"/>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支持高帧率放映</w:t>
            </w:r>
          </w:p>
          <w:p w14:paraId="702B5F56">
            <w:pPr>
              <w:widowControl/>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4AF54759">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sz w:val="22"/>
                <w:szCs w:val="22"/>
              </w:rPr>
              <w:t>3</w:t>
            </w:r>
          </w:p>
        </w:tc>
        <w:tc>
          <w:tcPr>
            <w:tcW w:w="443" w:type="pct"/>
            <w:tcBorders>
              <w:top w:val="single" w:color="auto" w:sz="4" w:space="0"/>
              <w:left w:val="single" w:color="auto" w:sz="4" w:space="0"/>
              <w:bottom w:val="single" w:color="auto" w:sz="4" w:space="0"/>
              <w:right w:val="single" w:color="auto" w:sz="4" w:space="0"/>
            </w:tcBorders>
            <w:noWrap/>
            <w:vAlign w:val="center"/>
          </w:tcPr>
          <w:p w14:paraId="3EBF0AC2">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套</w:t>
            </w:r>
          </w:p>
        </w:tc>
      </w:tr>
      <w:tr w14:paraId="76AE91BC">
        <w:tblPrEx>
          <w:tblCellMar>
            <w:top w:w="0" w:type="dxa"/>
            <w:left w:w="108" w:type="dxa"/>
            <w:bottom w:w="0" w:type="dxa"/>
            <w:right w:w="108" w:type="dxa"/>
          </w:tblCellMar>
        </w:tblPrEx>
        <w:trPr>
          <w:trHeight w:val="322"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744147AD">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专业数字影院音频处理器</w:t>
            </w:r>
          </w:p>
        </w:tc>
        <w:tc>
          <w:tcPr>
            <w:tcW w:w="3171" w:type="pct"/>
            <w:tcBorders>
              <w:top w:val="single" w:color="auto" w:sz="4" w:space="0"/>
              <w:left w:val="single" w:color="auto" w:sz="4" w:space="0"/>
              <w:bottom w:val="single" w:color="auto" w:sz="4" w:space="0"/>
              <w:right w:val="single" w:color="auto" w:sz="4" w:space="0"/>
            </w:tcBorders>
            <w:vAlign w:val="center"/>
          </w:tcPr>
          <w:p w14:paraId="0767ADA4">
            <w:pPr>
              <w:widowControl/>
              <w:numPr>
                <w:ilvl w:val="0"/>
                <w:numId w:val="5"/>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不低于6通道AES/EBU数字输入</w:t>
            </w:r>
          </w:p>
          <w:p w14:paraId="2F7D0E5F">
            <w:pPr>
              <w:widowControl/>
              <w:numPr>
                <w:ilvl w:val="0"/>
                <w:numId w:val="5"/>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采用DSP处理技术</w:t>
            </w:r>
          </w:p>
          <w:p w14:paraId="6B9D2947">
            <w:pPr>
              <w:widowControl/>
              <w:numPr>
                <w:ilvl w:val="0"/>
                <w:numId w:val="5"/>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支持扬声器的分频，均衡，增益调节</w:t>
            </w:r>
          </w:p>
          <w:p w14:paraId="07456FAC">
            <w:pPr>
              <w:widowControl/>
              <w:numPr>
                <w:ilvl w:val="0"/>
                <w:numId w:val="5"/>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内置标准调试程序及测试信号</w:t>
            </w:r>
          </w:p>
          <w:p w14:paraId="79DD70E9">
            <w:pPr>
              <w:widowControl/>
              <w:numPr>
                <w:ilvl w:val="0"/>
                <w:numId w:val="5"/>
              </w:numPr>
              <w:ind w:left="220" w:hanging="220" w:hangingChars="100"/>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 xml:space="preserve">可通过网络设备在机房对多个影厅的还音设备实现集中调试和监控                                                             </w:t>
            </w:r>
          </w:p>
          <w:p w14:paraId="3F41A5F0">
            <w:pPr>
              <w:widowControl/>
              <w:ind w:left="220" w:hanging="220" w:hangingChars="100"/>
              <w:jc w:val="left"/>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5487B570">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sz w:val="22"/>
                <w:szCs w:val="22"/>
              </w:rPr>
              <w:t>3</w:t>
            </w:r>
          </w:p>
        </w:tc>
        <w:tc>
          <w:tcPr>
            <w:tcW w:w="443" w:type="pct"/>
            <w:tcBorders>
              <w:top w:val="single" w:color="auto" w:sz="4" w:space="0"/>
              <w:left w:val="single" w:color="auto" w:sz="4" w:space="0"/>
              <w:bottom w:val="single" w:color="auto" w:sz="4" w:space="0"/>
              <w:right w:val="single" w:color="auto" w:sz="4" w:space="0"/>
            </w:tcBorders>
            <w:noWrap/>
            <w:vAlign w:val="center"/>
          </w:tcPr>
          <w:p w14:paraId="75486DF0">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台</w:t>
            </w:r>
          </w:p>
        </w:tc>
      </w:tr>
      <w:tr w14:paraId="42923B12">
        <w:tblPrEx>
          <w:tblCellMar>
            <w:top w:w="0" w:type="dxa"/>
            <w:left w:w="108" w:type="dxa"/>
            <w:bottom w:w="0" w:type="dxa"/>
            <w:right w:w="108" w:type="dxa"/>
          </w:tblCellMar>
        </w:tblPrEx>
        <w:trPr>
          <w:trHeight w:val="90" w:hRule="atLeast"/>
        </w:trPr>
        <w:tc>
          <w:tcPr>
            <w:tcW w:w="1155" w:type="pct"/>
            <w:tcBorders>
              <w:top w:val="single" w:color="auto" w:sz="4" w:space="0"/>
              <w:left w:val="single" w:color="auto" w:sz="4" w:space="0"/>
              <w:bottom w:val="single" w:color="auto" w:sz="4" w:space="0"/>
              <w:right w:val="single" w:color="auto" w:sz="4" w:space="0"/>
            </w:tcBorders>
            <w:vAlign w:val="center"/>
          </w:tcPr>
          <w:p w14:paraId="2219DBC0">
            <w:pPr>
              <w:widowControl/>
              <w:jc w:val="center"/>
              <w:textAlignment w:val="center"/>
              <w:rPr>
                <w:rFonts w:hint="eastAsia" w:ascii="等线" w:hAnsi="等线" w:eastAsia="等线" w:cs="等线"/>
                <w:color w:val="000000"/>
                <w:kern w:val="0"/>
                <w:sz w:val="22"/>
                <w:szCs w:val="22"/>
                <w:lang w:bidi="ar"/>
              </w:rPr>
            </w:pPr>
          </w:p>
          <w:p w14:paraId="5510115E">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幕后主扬声器1</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（左、中、右）</w:t>
            </w:r>
          </w:p>
        </w:tc>
        <w:tc>
          <w:tcPr>
            <w:tcW w:w="3171" w:type="pct"/>
            <w:tcBorders>
              <w:top w:val="single" w:color="auto" w:sz="4" w:space="0"/>
              <w:left w:val="single" w:color="auto" w:sz="4" w:space="0"/>
              <w:bottom w:val="single" w:color="auto" w:sz="4" w:space="0"/>
              <w:right w:val="single" w:color="auto" w:sz="4" w:space="0"/>
            </w:tcBorders>
            <w:vAlign w:val="center"/>
          </w:tcPr>
          <w:p w14:paraId="64771AF6">
            <w:pPr>
              <w:widowControl/>
              <w:numPr>
                <w:ilvl w:val="0"/>
                <w:numId w:val="6"/>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三分频</w:t>
            </w:r>
          </w:p>
          <w:p w14:paraId="48524B13">
            <w:pPr>
              <w:widowControl/>
              <w:numPr>
                <w:ilvl w:val="0"/>
                <w:numId w:val="6"/>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额定功率: 不低于LF 800W, M/HF 400W</w:t>
            </w:r>
          </w:p>
          <w:p w14:paraId="1816ED79">
            <w:pPr>
              <w:widowControl/>
              <w:numPr>
                <w:ilvl w:val="0"/>
                <w:numId w:val="6"/>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灵敏度: 不低于101dB</w:t>
            </w:r>
          </w:p>
          <w:p w14:paraId="42A0FF11">
            <w:pPr>
              <w:widowControl/>
              <w:numPr>
                <w:ilvl w:val="0"/>
                <w:numId w:val="6"/>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覆盖角度：不小于90°×40°</w:t>
            </w:r>
          </w:p>
          <w:p w14:paraId="271888C1">
            <w:pPr>
              <w:widowControl/>
              <w:numPr>
                <w:ilvl w:val="0"/>
                <w:numId w:val="6"/>
              </w:numPr>
              <w:jc w:val="left"/>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频率响应: 不小于40Hz-20kHz                                                               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734328C8">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3</w:t>
            </w:r>
          </w:p>
        </w:tc>
        <w:tc>
          <w:tcPr>
            <w:tcW w:w="443" w:type="pct"/>
            <w:tcBorders>
              <w:top w:val="single" w:color="auto" w:sz="4" w:space="0"/>
              <w:left w:val="single" w:color="auto" w:sz="4" w:space="0"/>
              <w:bottom w:val="single" w:color="auto" w:sz="4" w:space="0"/>
              <w:right w:val="single" w:color="auto" w:sz="4" w:space="0"/>
            </w:tcBorders>
            <w:noWrap/>
            <w:vAlign w:val="center"/>
          </w:tcPr>
          <w:p w14:paraId="7280643C">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组</w:t>
            </w:r>
          </w:p>
        </w:tc>
      </w:tr>
      <w:tr w14:paraId="4B07BFF0">
        <w:tblPrEx>
          <w:tblCellMar>
            <w:top w:w="0" w:type="dxa"/>
            <w:left w:w="108" w:type="dxa"/>
            <w:bottom w:w="0" w:type="dxa"/>
            <w:right w:w="108" w:type="dxa"/>
          </w:tblCellMar>
        </w:tblPrEx>
        <w:trPr>
          <w:trHeight w:val="90" w:hRule="atLeast"/>
        </w:trPr>
        <w:tc>
          <w:tcPr>
            <w:tcW w:w="1155" w:type="pct"/>
            <w:tcBorders>
              <w:top w:val="single" w:color="auto" w:sz="4" w:space="0"/>
              <w:left w:val="single" w:color="auto" w:sz="4" w:space="0"/>
              <w:bottom w:val="single" w:color="auto" w:sz="4" w:space="0"/>
              <w:right w:val="single" w:color="auto" w:sz="4" w:space="0"/>
            </w:tcBorders>
            <w:vAlign w:val="center"/>
          </w:tcPr>
          <w:p w14:paraId="7EF10351">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幕后主扬声器2</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（左、中、右）</w:t>
            </w:r>
          </w:p>
        </w:tc>
        <w:tc>
          <w:tcPr>
            <w:tcW w:w="3171" w:type="pct"/>
            <w:tcBorders>
              <w:top w:val="single" w:color="auto" w:sz="4" w:space="0"/>
              <w:left w:val="single" w:color="auto" w:sz="4" w:space="0"/>
              <w:bottom w:val="single" w:color="auto" w:sz="4" w:space="0"/>
              <w:right w:val="single" w:color="auto" w:sz="4" w:space="0"/>
            </w:tcBorders>
            <w:vAlign w:val="center"/>
          </w:tcPr>
          <w:p w14:paraId="7F193C33">
            <w:pPr>
              <w:widowControl/>
              <w:numPr>
                <w:ilvl w:val="0"/>
                <w:numId w:val="7"/>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两分频</w:t>
            </w:r>
          </w:p>
          <w:p w14:paraId="06276173">
            <w:pPr>
              <w:widowControl/>
              <w:numPr>
                <w:ilvl w:val="0"/>
                <w:numId w:val="7"/>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额定功率: 不低于600W</w:t>
            </w:r>
          </w:p>
          <w:p w14:paraId="2FD22210">
            <w:pPr>
              <w:widowControl/>
              <w:numPr>
                <w:ilvl w:val="0"/>
                <w:numId w:val="7"/>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灵敏度: 不低于100dB</w:t>
            </w:r>
          </w:p>
          <w:p w14:paraId="2B719CE0">
            <w:pPr>
              <w:widowControl/>
              <w:numPr>
                <w:ilvl w:val="0"/>
                <w:numId w:val="7"/>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覆盖角度：不小于90°×40°</w:t>
            </w:r>
          </w:p>
          <w:p w14:paraId="3CE3454B">
            <w:pPr>
              <w:widowControl/>
              <w:numPr>
                <w:ilvl w:val="0"/>
                <w:numId w:val="7"/>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频率响应: 不小于40Hz-16kHz</w:t>
            </w:r>
          </w:p>
          <w:p w14:paraId="75E62C94">
            <w:pPr>
              <w:widowControl/>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1A491DE8">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3</w:t>
            </w:r>
          </w:p>
        </w:tc>
        <w:tc>
          <w:tcPr>
            <w:tcW w:w="443" w:type="pct"/>
            <w:tcBorders>
              <w:top w:val="single" w:color="auto" w:sz="4" w:space="0"/>
              <w:left w:val="single" w:color="auto" w:sz="4" w:space="0"/>
              <w:bottom w:val="single" w:color="auto" w:sz="4" w:space="0"/>
              <w:right w:val="single" w:color="auto" w:sz="4" w:space="0"/>
            </w:tcBorders>
            <w:noWrap/>
            <w:vAlign w:val="center"/>
          </w:tcPr>
          <w:p w14:paraId="020D15BE">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组</w:t>
            </w:r>
          </w:p>
        </w:tc>
      </w:tr>
      <w:tr w14:paraId="25073E88">
        <w:tblPrEx>
          <w:tblCellMar>
            <w:top w:w="0" w:type="dxa"/>
            <w:left w:w="108" w:type="dxa"/>
            <w:bottom w:w="0" w:type="dxa"/>
            <w:right w:w="108" w:type="dxa"/>
          </w:tblCellMar>
        </w:tblPrEx>
        <w:trPr>
          <w:trHeight w:val="90" w:hRule="atLeast"/>
        </w:trPr>
        <w:tc>
          <w:tcPr>
            <w:tcW w:w="1155" w:type="pct"/>
            <w:tcBorders>
              <w:top w:val="single" w:color="auto" w:sz="4" w:space="0"/>
              <w:left w:val="single" w:color="auto" w:sz="4" w:space="0"/>
              <w:bottom w:val="single" w:color="auto" w:sz="4" w:space="0"/>
              <w:right w:val="single" w:color="auto" w:sz="4" w:space="0"/>
            </w:tcBorders>
            <w:vAlign w:val="center"/>
          </w:tcPr>
          <w:p w14:paraId="035B3096">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幕后主扬声器3（左、中、右）</w:t>
            </w:r>
          </w:p>
        </w:tc>
        <w:tc>
          <w:tcPr>
            <w:tcW w:w="3171" w:type="pct"/>
            <w:tcBorders>
              <w:top w:val="single" w:color="auto" w:sz="4" w:space="0"/>
              <w:left w:val="single" w:color="auto" w:sz="4" w:space="0"/>
              <w:bottom w:val="single" w:color="auto" w:sz="4" w:space="0"/>
              <w:right w:val="single" w:color="auto" w:sz="4" w:space="0"/>
            </w:tcBorders>
            <w:vAlign w:val="center"/>
          </w:tcPr>
          <w:p w14:paraId="5C639F2A">
            <w:pPr>
              <w:widowControl/>
              <w:numPr>
                <w:ilvl w:val="0"/>
                <w:numId w:val="8"/>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两分频</w:t>
            </w:r>
          </w:p>
          <w:p w14:paraId="74DE02B2">
            <w:pPr>
              <w:widowControl/>
              <w:numPr>
                <w:ilvl w:val="0"/>
                <w:numId w:val="8"/>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额定功率: 不低于300W</w:t>
            </w:r>
          </w:p>
          <w:p w14:paraId="041A4AD9">
            <w:pPr>
              <w:widowControl/>
              <w:numPr>
                <w:ilvl w:val="0"/>
                <w:numId w:val="8"/>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灵敏度: 不低于99dB</w:t>
            </w:r>
          </w:p>
          <w:p w14:paraId="7FB614C2">
            <w:pPr>
              <w:widowControl/>
              <w:numPr>
                <w:ilvl w:val="0"/>
                <w:numId w:val="8"/>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覆盖角度：不小于90°×40°</w:t>
            </w:r>
          </w:p>
          <w:p w14:paraId="58D1EBFE">
            <w:pPr>
              <w:widowControl/>
              <w:numPr>
                <w:ilvl w:val="0"/>
                <w:numId w:val="8"/>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频率响应: 不小于45Hz-20kHz</w:t>
            </w:r>
          </w:p>
          <w:p w14:paraId="08574824">
            <w:pPr>
              <w:widowControl/>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177750E4">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3</w:t>
            </w:r>
          </w:p>
        </w:tc>
        <w:tc>
          <w:tcPr>
            <w:tcW w:w="443" w:type="pct"/>
            <w:tcBorders>
              <w:top w:val="single" w:color="auto" w:sz="4" w:space="0"/>
              <w:left w:val="single" w:color="auto" w:sz="4" w:space="0"/>
              <w:bottom w:val="single" w:color="auto" w:sz="4" w:space="0"/>
              <w:right w:val="single" w:color="auto" w:sz="4" w:space="0"/>
            </w:tcBorders>
            <w:noWrap/>
            <w:vAlign w:val="center"/>
          </w:tcPr>
          <w:p w14:paraId="5766FD10">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组</w:t>
            </w:r>
          </w:p>
        </w:tc>
      </w:tr>
      <w:tr w14:paraId="29D56922">
        <w:tblPrEx>
          <w:tblCellMar>
            <w:top w:w="0" w:type="dxa"/>
            <w:left w:w="108" w:type="dxa"/>
            <w:bottom w:w="0" w:type="dxa"/>
            <w:right w:w="108" w:type="dxa"/>
          </w:tblCellMar>
        </w:tblPrEx>
        <w:trPr>
          <w:trHeight w:val="90"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21F6BA94">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超低音扬声器系统</w:t>
            </w:r>
          </w:p>
        </w:tc>
        <w:tc>
          <w:tcPr>
            <w:tcW w:w="3171" w:type="pct"/>
            <w:tcBorders>
              <w:top w:val="single" w:color="auto" w:sz="4" w:space="0"/>
              <w:left w:val="single" w:color="auto" w:sz="4" w:space="0"/>
              <w:bottom w:val="single" w:color="auto" w:sz="4" w:space="0"/>
              <w:right w:val="single" w:color="auto" w:sz="4" w:space="0"/>
            </w:tcBorders>
            <w:vAlign w:val="center"/>
          </w:tcPr>
          <w:p w14:paraId="11608B12">
            <w:pPr>
              <w:widowControl/>
              <w:numPr>
                <w:ilvl w:val="0"/>
                <w:numId w:val="9"/>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双18</w:t>
            </w:r>
            <w:r>
              <w:rPr>
                <w:rFonts w:ascii="等线" w:hAnsi="等线" w:eastAsia="等线" w:cs="等线"/>
                <w:color w:val="000000"/>
                <w:kern w:val="0"/>
                <w:sz w:val="22"/>
                <w:szCs w:val="22"/>
                <w:lang w:bidi="ar"/>
              </w:rPr>
              <w:t>”</w:t>
            </w:r>
            <w:r>
              <w:rPr>
                <w:rFonts w:hint="eastAsia" w:ascii="等线" w:hAnsi="等线" w:eastAsia="等线" w:cs="等线"/>
                <w:color w:val="000000"/>
                <w:kern w:val="0"/>
                <w:sz w:val="22"/>
                <w:szCs w:val="22"/>
                <w:lang w:bidi="ar"/>
              </w:rPr>
              <w:t>低音单元</w:t>
            </w:r>
          </w:p>
          <w:p w14:paraId="3FC3FA12">
            <w:pPr>
              <w:widowControl/>
              <w:numPr>
                <w:ilvl w:val="0"/>
                <w:numId w:val="9"/>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额定功率: 不低于1200W</w:t>
            </w:r>
          </w:p>
          <w:p w14:paraId="5C5D57C8">
            <w:pPr>
              <w:widowControl/>
              <w:numPr>
                <w:ilvl w:val="0"/>
                <w:numId w:val="9"/>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灵敏度: 不低于102dB</w:t>
            </w:r>
          </w:p>
          <w:p w14:paraId="03FD8C4B">
            <w:pPr>
              <w:widowControl/>
              <w:numPr>
                <w:ilvl w:val="0"/>
                <w:numId w:val="9"/>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阻抗：8Ω</w:t>
            </w:r>
          </w:p>
          <w:p w14:paraId="497349A7">
            <w:pPr>
              <w:widowControl/>
              <w:numPr>
                <w:ilvl w:val="0"/>
                <w:numId w:val="9"/>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 xml:space="preserve">频率响应: 不小于25Hz-500Hz    </w:t>
            </w:r>
          </w:p>
          <w:p w14:paraId="66DD5A6A">
            <w:pPr>
              <w:widowControl/>
              <w:jc w:val="left"/>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54E2910A">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sz w:val="22"/>
                <w:szCs w:val="22"/>
              </w:rPr>
              <w:t>5</w:t>
            </w:r>
          </w:p>
        </w:tc>
        <w:tc>
          <w:tcPr>
            <w:tcW w:w="443" w:type="pct"/>
            <w:tcBorders>
              <w:top w:val="single" w:color="auto" w:sz="4" w:space="0"/>
              <w:left w:val="single" w:color="auto" w:sz="4" w:space="0"/>
              <w:bottom w:val="single" w:color="auto" w:sz="4" w:space="0"/>
              <w:right w:val="single" w:color="auto" w:sz="4" w:space="0"/>
            </w:tcBorders>
            <w:noWrap/>
            <w:vAlign w:val="center"/>
          </w:tcPr>
          <w:p w14:paraId="12E30221">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只</w:t>
            </w:r>
          </w:p>
        </w:tc>
      </w:tr>
      <w:tr w14:paraId="256C9B49">
        <w:tblPrEx>
          <w:tblCellMar>
            <w:top w:w="0" w:type="dxa"/>
            <w:left w:w="108" w:type="dxa"/>
            <w:bottom w:w="0" w:type="dxa"/>
            <w:right w:w="108" w:type="dxa"/>
          </w:tblCellMar>
        </w:tblPrEx>
        <w:trPr>
          <w:trHeight w:val="2165"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7B2EF937">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环绕声扬声器系统</w:t>
            </w:r>
          </w:p>
        </w:tc>
        <w:tc>
          <w:tcPr>
            <w:tcW w:w="3171" w:type="pct"/>
            <w:tcBorders>
              <w:top w:val="single" w:color="auto" w:sz="4" w:space="0"/>
              <w:left w:val="single" w:color="auto" w:sz="4" w:space="0"/>
              <w:bottom w:val="single" w:color="auto" w:sz="4" w:space="0"/>
              <w:right w:val="single" w:color="auto" w:sz="4" w:space="0"/>
            </w:tcBorders>
            <w:vAlign w:val="center"/>
          </w:tcPr>
          <w:p w14:paraId="541BB834">
            <w:pPr>
              <w:widowControl/>
              <w:numPr>
                <w:ilvl w:val="0"/>
                <w:numId w:val="10"/>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额定功率: 不低于120W</w:t>
            </w:r>
          </w:p>
          <w:p w14:paraId="46767B3B">
            <w:pPr>
              <w:widowControl/>
              <w:numPr>
                <w:ilvl w:val="0"/>
                <w:numId w:val="10"/>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灵敏度: 不低于93dB</w:t>
            </w:r>
          </w:p>
          <w:p w14:paraId="4A626631">
            <w:pPr>
              <w:widowControl/>
              <w:numPr>
                <w:ilvl w:val="0"/>
                <w:numId w:val="10"/>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阻抗： 8Ω</w:t>
            </w:r>
          </w:p>
          <w:p w14:paraId="3BF744E3">
            <w:pPr>
              <w:widowControl/>
              <w:numPr>
                <w:ilvl w:val="0"/>
                <w:numId w:val="10"/>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频率响应: 不小于50Hz-20kHz</w:t>
            </w:r>
          </w:p>
          <w:p w14:paraId="4B8E8CFC">
            <w:pPr>
              <w:widowControl/>
              <w:numPr>
                <w:ilvl w:val="0"/>
                <w:numId w:val="10"/>
              </w:numPr>
              <w:jc w:val="left"/>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 xml:space="preserve">覆盖角度：不小于100°×80°                                                                        上述参数为最低要求，投标品牌参数不得低于上述参数。 </w:t>
            </w:r>
          </w:p>
        </w:tc>
        <w:tc>
          <w:tcPr>
            <w:tcW w:w="230" w:type="pct"/>
            <w:tcBorders>
              <w:top w:val="single" w:color="auto" w:sz="4" w:space="0"/>
              <w:left w:val="single" w:color="auto" w:sz="4" w:space="0"/>
              <w:bottom w:val="single" w:color="auto" w:sz="4" w:space="0"/>
              <w:right w:val="single" w:color="auto" w:sz="4" w:space="0"/>
            </w:tcBorders>
            <w:noWrap/>
            <w:vAlign w:val="center"/>
          </w:tcPr>
          <w:p w14:paraId="36C387FF">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sz w:val="22"/>
                <w:szCs w:val="22"/>
              </w:rPr>
              <w:t>24</w:t>
            </w:r>
          </w:p>
        </w:tc>
        <w:tc>
          <w:tcPr>
            <w:tcW w:w="443" w:type="pct"/>
            <w:tcBorders>
              <w:top w:val="single" w:color="auto" w:sz="4" w:space="0"/>
              <w:left w:val="single" w:color="auto" w:sz="4" w:space="0"/>
              <w:bottom w:val="single" w:color="auto" w:sz="4" w:space="0"/>
              <w:right w:val="single" w:color="auto" w:sz="4" w:space="0"/>
            </w:tcBorders>
            <w:noWrap/>
            <w:vAlign w:val="center"/>
          </w:tcPr>
          <w:p w14:paraId="0645236C">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只</w:t>
            </w:r>
          </w:p>
        </w:tc>
      </w:tr>
      <w:tr w14:paraId="49C33887">
        <w:tblPrEx>
          <w:tblCellMar>
            <w:top w:w="0" w:type="dxa"/>
            <w:left w:w="108" w:type="dxa"/>
            <w:bottom w:w="0" w:type="dxa"/>
            <w:right w:w="108" w:type="dxa"/>
          </w:tblCellMar>
        </w:tblPrEx>
        <w:trPr>
          <w:trHeight w:val="1579"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528E0A13">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专业功率放大器</w:t>
            </w:r>
          </w:p>
        </w:tc>
        <w:tc>
          <w:tcPr>
            <w:tcW w:w="3171" w:type="pct"/>
            <w:tcBorders>
              <w:top w:val="single" w:color="auto" w:sz="4" w:space="0"/>
              <w:left w:val="single" w:color="auto" w:sz="4" w:space="0"/>
              <w:bottom w:val="single" w:color="auto" w:sz="4" w:space="0"/>
              <w:right w:val="single" w:color="auto" w:sz="4" w:space="0"/>
            </w:tcBorders>
            <w:vAlign w:val="center"/>
          </w:tcPr>
          <w:p w14:paraId="2E254A7A">
            <w:pPr>
              <w:widowControl/>
              <w:numPr>
                <w:ilvl w:val="0"/>
                <w:numId w:val="11"/>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根据扬声器配置</w:t>
            </w:r>
          </w:p>
          <w:p w14:paraId="67A70069">
            <w:pPr>
              <w:widowControl/>
              <w:numPr>
                <w:ilvl w:val="0"/>
                <w:numId w:val="11"/>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不低于两声道设计</w:t>
            </w:r>
          </w:p>
          <w:p w14:paraId="0CC7B109">
            <w:pPr>
              <w:widowControl/>
              <w:numPr>
                <w:ilvl w:val="0"/>
                <w:numId w:val="11"/>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低噪音，低能耗</w:t>
            </w:r>
          </w:p>
          <w:p w14:paraId="0C93AE44">
            <w:pPr>
              <w:widowControl/>
              <w:numPr>
                <w:ilvl w:val="0"/>
                <w:numId w:val="11"/>
              </w:numPr>
              <w:jc w:val="left"/>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内置集成限幅器，保护功能齐全                                                                        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189122B9">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12</w:t>
            </w:r>
          </w:p>
        </w:tc>
        <w:tc>
          <w:tcPr>
            <w:tcW w:w="443" w:type="pct"/>
            <w:tcBorders>
              <w:top w:val="single" w:color="auto" w:sz="4" w:space="0"/>
              <w:left w:val="single" w:color="auto" w:sz="4" w:space="0"/>
              <w:bottom w:val="single" w:color="auto" w:sz="4" w:space="0"/>
              <w:right w:val="single" w:color="auto" w:sz="4" w:space="0"/>
            </w:tcBorders>
            <w:noWrap/>
            <w:vAlign w:val="center"/>
          </w:tcPr>
          <w:p w14:paraId="12EDD9A5">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台</w:t>
            </w:r>
          </w:p>
        </w:tc>
      </w:tr>
      <w:tr w14:paraId="2268DC2B">
        <w:tblPrEx>
          <w:tblCellMar>
            <w:top w:w="0" w:type="dxa"/>
            <w:left w:w="108" w:type="dxa"/>
            <w:bottom w:w="0" w:type="dxa"/>
            <w:right w:w="108" w:type="dxa"/>
          </w:tblCellMar>
        </w:tblPrEx>
        <w:trPr>
          <w:trHeight w:val="1617"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615C659D">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电源时序器</w:t>
            </w:r>
          </w:p>
        </w:tc>
        <w:tc>
          <w:tcPr>
            <w:tcW w:w="3171" w:type="pct"/>
            <w:tcBorders>
              <w:top w:val="single" w:color="auto" w:sz="4" w:space="0"/>
              <w:left w:val="single" w:color="auto" w:sz="4" w:space="0"/>
              <w:bottom w:val="single" w:color="auto" w:sz="4" w:space="0"/>
              <w:right w:val="single" w:color="auto" w:sz="4" w:space="0"/>
            </w:tcBorders>
            <w:vAlign w:val="center"/>
          </w:tcPr>
          <w:p w14:paraId="30B31852">
            <w:pPr>
              <w:widowControl/>
              <w:numPr>
                <w:ilvl w:val="0"/>
                <w:numId w:val="12"/>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12路电源控制</w:t>
            </w:r>
          </w:p>
          <w:p w14:paraId="61B8C4EC">
            <w:pPr>
              <w:widowControl/>
              <w:numPr>
                <w:ilvl w:val="0"/>
                <w:numId w:val="12"/>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支持TCP/IP网络连接，可提供通信协议</w:t>
            </w:r>
          </w:p>
          <w:p w14:paraId="08678859">
            <w:pPr>
              <w:widowControl/>
              <w:numPr>
                <w:ilvl w:val="0"/>
                <w:numId w:val="12"/>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总容量：不低于220VAC，45A，9900W</w:t>
            </w:r>
          </w:p>
          <w:p w14:paraId="54BF604E">
            <w:pPr>
              <w:widowControl/>
              <w:numPr>
                <w:ilvl w:val="0"/>
                <w:numId w:val="12"/>
              </w:numPr>
              <w:jc w:val="left"/>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功耗：不高于20W                                                                                                              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4CDE7B55">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sz w:val="22"/>
                <w:szCs w:val="22"/>
              </w:rPr>
              <w:t>3</w:t>
            </w:r>
          </w:p>
        </w:tc>
        <w:tc>
          <w:tcPr>
            <w:tcW w:w="443" w:type="pct"/>
            <w:tcBorders>
              <w:top w:val="single" w:color="auto" w:sz="4" w:space="0"/>
              <w:left w:val="single" w:color="auto" w:sz="4" w:space="0"/>
              <w:bottom w:val="single" w:color="auto" w:sz="4" w:space="0"/>
              <w:right w:val="single" w:color="auto" w:sz="4" w:space="0"/>
            </w:tcBorders>
            <w:noWrap/>
            <w:vAlign w:val="center"/>
          </w:tcPr>
          <w:p w14:paraId="0E2E5468">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台</w:t>
            </w:r>
          </w:p>
        </w:tc>
      </w:tr>
      <w:tr w14:paraId="3B78757D">
        <w:tblPrEx>
          <w:tblCellMar>
            <w:top w:w="0" w:type="dxa"/>
            <w:left w:w="108" w:type="dxa"/>
            <w:bottom w:w="0" w:type="dxa"/>
            <w:right w:w="108" w:type="dxa"/>
          </w:tblCellMar>
        </w:tblPrEx>
        <w:trPr>
          <w:trHeight w:val="522"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2BD334EA">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普通环绕音扬声器支架</w:t>
            </w:r>
          </w:p>
        </w:tc>
        <w:tc>
          <w:tcPr>
            <w:tcW w:w="3171" w:type="pct"/>
            <w:tcBorders>
              <w:top w:val="single" w:color="auto" w:sz="4" w:space="0"/>
              <w:left w:val="single" w:color="auto" w:sz="4" w:space="0"/>
              <w:bottom w:val="single" w:color="auto" w:sz="4" w:space="0"/>
              <w:right w:val="single" w:color="auto" w:sz="4" w:space="0"/>
            </w:tcBorders>
            <w:noWrap/>
            <w:vAlign w:val="center"/>
          </w:tcPr>
          <w:p w14:paraId="60A1BFEF">
            <w:pPr>
              <w:widowControl/>
              <w:jc w:val="center"/>
              <w:textAlignment w:val="center"/>
              <w:rPr>
                <w:rFonts w:hint="eastAsia" w:ascii="等线" w:hAnsi="等线" w:eastAsia="等线" w:cs="等线"/>
                <w:color w:val="000000"/>
                <w:kern w:val="0"/>
                <w:sz w:val="22"/>
                <w:szCs w:val="22"/>
                <w:lang w:bidi="ar"/>
              </w:rPr>
            </w:pPr>
            <w:r>
              <w:rPr>
                <w:rFonts w:ascii="等线" w:hAnsi="等线" w:eastAsia="等线" w:cs="等线"/>
                <w:color w:val="000000"/>
                <w:kern w:val="0"/>
                <w:sz w:val="22"/>
                <w:szCs w:val="22"/>
                <w:highlight w:val="none"/>
                <w:lang w:bidi="ar"/>
              </w:rPr>
              <w:t>铝合金或镁合金</w:t>
            </w:r>
            <w:r>
              <w:rPr>
                <w:rFonts w:hint="eastAsia" w:ascii="等线" w:hAnsi="等线" w:eastAsia="等线" w:cs="等线"/>
                <w:color w:val="000000"/>
                <w:kern w:val="0"/>
                <w:sz w:val="22"/>
                <w:szCs w:val="22"/>
                <w:highlight w:val="none"/>
                <w:lang w:bidi="ar"/>
              </w:rPr>
              <w:t xml:space="preserve">材质 </w:t>
            </w:r>
          </w:p>
        </w:tc>
        <w:tc>
          <w:tcPr>
            <w:tcW w:w="230" w:type="pct"/>
            <w:tcBorders>
              <w:top w:val="single" w:color="auto" w:sz="4" w:space="0"/>
              <w:left w:val="single" w:color="auto" w:sz="4" w:space="0"/>
              <w:bottom w:val="single" w:color="auto" w:sz="4" w:space="0"/>
              <w:right w:val="single" w:color="auto" w:sz="4" w:space="0"/>
            </w:tcBorders>
            <w:noWrap/>
            <w:vAlign w:val="center"/>
          </w:tcPr>
          <w:p w14:paraId="384D263E">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sz w:val="22"/>
                <w:szCs w:val="22"/>
              </w:rPr>
              <w:t>24</w:t>
            </w:r>
          </w:p>
        </w:tc>
        <w:tc>
          <w:tcPr>
            <w:tcW w:w="443" w:type="pct"/>
            <w:tcBorders>
              <w:top w:val="single" w:color="auto" w:sz="4" w:space="0"/>
              <w:left w:val="single" w:color="auto" w:sz="4" w:space="0"/>
              <w:bottom w:val="single" w:color="auto" w:sz="4" w:space="0"/>
              <w:right w:val="single" w:color="auto" w:sz="4" w:space="0"/>
            </w:tcBorders>
            <w:noWrap/>
            <w:vAlign w:val="center"/>
          </w:tcPr>
          <w:p w14:paraId="02C0DA04">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套</w:t>
            </w:r>
          </w:p>
        </w:tc>
      </w:tr>
      <w:tr w14:paraId="6F137F60">
        <w:tblPrEx>
          <w:tblCellMar>
            <w:top w:w="0" w:type="dxa"/>
            <w:left w:w="108" w:type="dxa"/>
            <w:bottom w:w="0" w:type="dxa"/>
            <w:right w:w="108" w:type="dxa"/>
          </w:tblCellMar>
        </w:tblPrEx>
        <w:trPr>
          <w:trHeight w:val="559" w:hRule="atLeast"/>
        </w:trPr>
        <w:tc>
          <w:tcPr>
            <w:tcW w:w="1155" w:type="pct"/>
            <w:tcBorders>
              <w:top w:val="single" w:color="auto" w:sz="4" w:space="0"/>
              <w:left w:val="single" w:color="auto" w:sz="4" w:space="0"/>
              <w:bottom w:val="single" w:color="auto" w:sz="4" w:space="0"/>
              <w:right w:val="single" w:color="auto" w:sz="4" w:space="0"/>
            </w:tcBorders>
            <w:noWrap/>
            <w:vAlign w:val="center"/>
          </w:tcPr>
          <w:p w14:paraId="1740126F">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机柜附件与接插件</w:t>
            </w:r>
          </w:p>
        </w:tc>
        <w:tc>
          <w:tcPr>
            <w:tcW w:w="3171" w:type="pct"/>
            <w:tcBorders>
              <w:top w:val="single" w:color="auto" w:sz="4" w:space="0"/>
              <w:left w:val="single" w:color="auto" w:sz="4" w:space="0"/>
              <w:bottom w:val="single" w:color="auto" w:sz="4" w:space="0"/>
              <w:right w:val="single" w:color="auto" w:sz="4" w:space="0"/>
            </w:tcBorders>
            <w:noWrap/>
            <w:vAlign w:val="center"/>
          </w:tcPr>
          <w:p w14:paraId="100FE486">
            <w:pPr>
              <w:widowControl/>
              <w:jc w:val="center"/>
              <w:textAlignment w:val="center"/>
              <w:rPr>
                <w:rFonts w:hint="eastAsia" w:ascii="等线" w:hAnsi="等线" w:eastAsia="等线" w:cs="等线"/>
                <w:color w:val="000000"/>
                <w:sz w:val="22"/>
                <w:szCs w:val="22"/>
              </w:rPr>
            </w:pPr>
          </w:p>
        </w:tc>
        <w:tc>
          <w:tcPr>
            <w:tcW w:w="230" w:type="pct"/>
            <w:tcBorders>
              <w:top w:val="single" w:color="auto" w:sz="4" w:space="0"/>
              <w:left w:val="single" w:color="auto" w:sz="4" w:space="0"/>
              <w:bottom w:val="single" w:color="auto" w:sz="4" w:space="0"/>
              <w:right w:val="single" w:color="auto" w:sz="4" w:space="0"/>
            </w:tcBorders>
            <w:noWrap/>
            <w:vAlign w:val="center"/>
          </w:tcPr>
          <w:p w14:paraId="4CBEA4FF">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sz w:val="22"/>
                <w:szCs w:val="22"/>
              </w:rPr>
              <w:t>3</w:t>
            </w:r>
          </w:p>
        </w:tc>
        <w:tc>
          <w:tcPr>
            <w:tcW w:w="443" w:type="pct"/>
            <w:tcBorders>
              <w:top w:val="single" w:color="auto" w:sz="4" w:space="0"/>
              <w:left w:val="single" w:color="auto" w:sz="4" w:space="0"/>
              <w:bottom w:val="single" w:color="auto" w:sz="4" w:space="0"/>
              <w:right w:val="single" w:color="auto" w:sz="4" w:space="0"/>
            </w:tcBorders>
            <w:noWrap/>
            <w:vAlign w:val="center"/>
          </w:tcPr>
          <w:p w14:paraId="48CCACF1">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套</w:t>
            </w:r>
          </w:p>
        </w:tc>
      </w:tr>
      <w:tr w14:paraId="3AF1F228">
        <w:tblPrEx>
          <w:tblCellMar>
            <w:top w:w="0" w:type="dxa"/>
            <w:left w:w="108" w:type="dxa"/>
            <w:bottom w:w="0" w:type="dxa"/>
            <w:right w:w="108" w:type="dxa"/>
          </w:tblCellMar>
        </w:tblPrEx>
        <w:trPr>
          <w:trHeight w:val="2726" w:hRule="atLeast"/>
        </w:trPr>
        <w:tc>
          <w:tcPr>
            <w:tcW w:w="1155" w:type="pct"/>
            <w:tcBorders>
              <w:top w:val="single" w:color="auto" w:sz="4" w:space="0"/>
              <w:left w:val="single" w:color="auto" w:sz="4" w:space="0"/>
              <w:bottom w:val="single" w:color="auto" w:sz="4" w:space="0"/>
              <w:right w:val="single" w:color="auto" w:sz="4" w:space="0"/>
            </w:tcBorders>
            <w:vAlign w:val="center"/>
          </w:tcPr>
          <w:p w14:paraId="5A0A804E">
            <w:pPr>
              <w:widowControl/>
              <w:jc w:val="center"/>
              <w:textAlignment w:val="center"/>
              <w:rPr>
                <w:rFonts w:hint="eastAsia" w:ascii="等线" w:hAnsi="等线" w:eastAsia="等线" w:cs="等线"/>
                <w:color w:val="000000"/>
                <w:sz w:val="20"/>
                <w:szCs w:val="20"/>
              </w:rPr>
            </w:pPr>
            <w:r>
              <w:rPr>
                <w:rFonts w:hint="eastAsia" w:ascii="等线" w:hAnsi="等线" w:eastAsia="等线" w:cs="等线"/>
                <w:color w:val="000000"/>
                <w:sz w:val="22"/>
                <w:szCs w:val="22"/>
              </w:rPr>
              <w:t>银幕</w:t>
            </w:r>
          </w:p>
        </w:tc>
        <w:tc>
          <w:tcPr>
            <w:tcW w:w="3171" w:type="pct"/>
            <w:tcBorders>
              <w:top w:val="single" w:color="auto" w:sz="4" w:space="0"/>
              <w:left w:val="single" w:color="auto" w:sz="4" w:space="0"/>
              <w:bottom w:val="single" w:color="auto" w:sz="4" w:space="0"/>
              <w:right w:val="single" w:color="auto" w:sz="4" w:space="0"/>
            </w:tcBorders>
          </w:tcPr>
          <w:p w14:paraId="5FE9290B">
            <w:pPr>
              <w:widowControl/>
              <w:numPr>
                <w:ilvl w:val="0"/>
                <w:numId w:val="13"/>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包括银幕、银幕架等辅材采购制作、安装、调试                                                                                                                                                                            2. 金属银幕，亮度系数: 2.0-2.5</w:t>
            </w:r>
          </w:p>
          <w:p w14:paraId="0ED87CBE">
            <w:pPr>
              <w:widowControl/>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3、有效散射角: 不低于50°</w:t>
            </w:r>
          </w:p>
          <w:p w14:paraId="22362E29">
            <w:pPr>
              <w:widowControl/>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4. 孔径: 0.6-0.8mm</w:t>
            </w:r>
          </w:p>
          <w:p w14:paraId="1395AA06">
            <w:pPr>
              <w:widowControl/>
              <w:numPr>
                <w:ilvl w:val="0"/>
                <w:numId w:val="12"/>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偏振比：不低于230：1</w:t>
            </w:r>
          </w:p>
          <w:p w14:paraId="1C7904AF">
            <w:pPr>
              <w:widowControl/>
              <w:numPr>
                <w:ilvl w:val="0"/>
                <w:numId w:val="12"/>
              </w:numPr>
              <w:jc w:val="left"/>
              <w:textAlignment w:val="center"/>
              <w:rPr>
                <w:rFonts w:hint="eastAsia" w:ascii="等线" w:hAnsi="等线" w:eastAsia="等线" w:cs="等线"/>
                <w:color w:val="000000"/>
                <w:sz w:val="20"/>
                <w:szCs w:val="20"/>
              </w:rPr>
            </w:pPr>
            <w:r>
              <w:rPr>
                <w:rFonts w:hint="eastAsia" w:ascii="等线" w:hAnsi="等线" w:eastAsia="等线" w:cs="等线"/>
                <w:color w:val="000000"/>
                <w:kern w:val="0"/>
                <w:sz w:val="22"/>
                <w:szCs w:val="22"/>
                <w:lang w:bidi="ar"/>
              </w:rPr>
              <w:t>B1级阻燃标准，</w:t>
            </w:r>
            <w:r>
              <w:rPr>
                <w:rFonts w:hint="eastAsia" w:ascii="等线" w:hAnsi="等线" w:eastAsia="等线" w:cs="等线"/>
                <w:color w:val="000000"/>
                <w:kern w:val="0"/>
                <w:sz w:val="20"/>
                <w:szCs w:val="20"/>
                <w:lang w:bidi="ar"/>
              </w:rPr>
              <w:t>供货时提供消防B1阻燃报告及银幕光学检测报告。                                                                                                                                              1号厅规格9.5m*5.2m、2号厅规格9.5m*3.6m 、3号厅规格10.2m*4.6m 、4号厅规格8.7m*3.8m 、5号厅规格6m*2.5m</w:t>
            </w:r>
          </w:p>
          <w:p w14:paraId="6FA85476">
            <w:pPr>
              <w:widowControl/>
              <w:jc w:val="left"/>
              <w:textAlignment w:val="center"/>
              <w:rPr>
                <w:rFonts w:hint="eastAsia" w:ascii="等线" w:hAnsi="等线" w:eastAsia="等线" w:cs="等线"/>
                <w:color w:val="000000"/>
                <w:sz w:val="20"/>
                <w:szCs w:val="20"/>
              </w:rPr>
            </w:pPr>
            <w:r>
              <w:rPr>
                <w:rFonts w:hint="eastAsia" w:ascii="等线" w:hAnsi="等线" w:eastAsia="等线" w:cs="等线"/>
                <w:color w:val="000000"/>
                <w:kern w:val="0"/>
                <w:sz w:val="22"/>
                <w:szCs w:val="22"/>
                <w:lang w:bidi="ar"/>
              </w:rPr>
              <w:t>上述参数为最低要求，投标品牌参数不得低于上述参数</w:t>
            </w:r>
            <w:r>
              <w:rPr>
                <w:rFonts w:hint="eastAsia" w:ascii="等线" w:hAnsi="等线" w:eastAsia="等线" w:cs="等线"/>
                <w:color w:val="000000"/>
                <w:kern w:val="0"/>
                <w:sz w:val="20"/>
                <w:szCs w:val="20"/>
                <w:lang w:bidi="ar"/>
              </w:rPr>
              <w:t xml:space="preserve">                                                                                                                                                                                                                                                                 </w:t>
            </w:r>
          </w:p>
        </w:tc>
        <w:tc>
          <w:tcPr>
            <w:tcW w:w="230" w:type="pct"/>
            <w:tcBorders>
              <w:top w:val="single" w:color="auto" w:sz="4" w:space="0"/>
              <w:left w:val="single" w:color="auto" w:sz="4" w:space="0"/>
              <w:bottom w:val="single" w:color="auto" w:sz="4" w:space="0"/>
              <w:right w:val="single" w:color="auto" w:sz="4" w:space="0"/>
            </w:tcBorders>
            <w:noWrap/>
            <w:vAlign w:val="center"/>
          </w:tcPr>
          <w:p w14:paraId="27BD1A1F">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178.58</w:t>
            </w:r>
          </w:p>
        </w:tc>
        <w:tc>
          <w:tcPr>
            <w:tcW w:w="443" w:type="pct"/>
            <w:tcBorders>
              <w:top w:val="single" w:color="auto" w:sz="4" w:space="0"/>
              <w:left w:val="single" w:color="auto" w:sz="4" w:space="0"/>
              <w:bottom w:val="single" w:color="auto" w:sz="4" w:space="0"/>
              <w:right w:val="single" w:color="auto" w:sz="4" w:space="0"/>
            </w:tcBorders>
            <w:noWrap/>
            <w:vAlign w:val="center"/>
          </w:tcPr>
          <w:p w14:paraId="1C9FD66E">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kern w:val="0"/>
                <w:sz w:val="22"/>
                <w:szCs w:val="22"/>
                <w:lang w:bidi="ar"/>
              </w:rPr>
              <w:t>m2</w:t>
            </w:r>
          </w:p>
        </w:tc>
      </w:tr>
      <w:tr w14:paraId="4721E9DE">
        <w:tblPrEx>
          <w:tblCellMar>
            <w:top w:w="0" w:type="dxa"/>
            <w:left w:w="108" w:type="dxa"/>
            <w:bottom w:w="0" w:type="dxa"/>
            <w:right w:w="108" w:type="dxa"/>
          </w:tblCellMar>
        </w:tblPrEx>
        <w:trPr>
          <w:trHeight w:val="591" w:hRule="atLeast"/>
        </w:trPr>
        <w:tc>
          <w:tcPr>
            <w:tcW w:w="1155" w:type="pct"/>
            <w:tcBorders>
              <w:top w:val="single" w:color="auto" w:sz="4" w:space="0"/>
              <w:left w:val="single" w:color="auto" w:sz="4" w:space="0"/>
              <w:bottom w:val="single" w:color="auto" w:sz="4" w:space="0"/>
              <w:right w:val="single" w:color="auto" w:sz="4" w:space="0"/>
            </w:tcBorders>
            <w:vAlign w:val="center"/>
          </w:tcPr>
          <w:p w14:paraId="6EE3CB36">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sz w:val="22"/>
                <w:szCs w:val="22"/>
              </w:rPr>
              <w:t>TMS系统</w:t>
            </w:r>
          </w:p>
        </w:tc>
        <w:tc>
          <w:tcPr>
            <w:tcW w:w="3171" w:type="pct"/>
            <w:tcBorders>
              <w:top w:val="single" w:color="auto" w:sz="4" w:space="0"/>
              <w:left w:val="single" w:color="auto" w:sz="4" w:space="0"/>
              <w:bottom w:val="single" w:color="auto" w:sz="4" w:space="0"/>
              <w:right w:val="single" w:color="auto" w:sz="4" w:space="0"/>
            </w:tcBorders>
            <w:vAlign w:val="center"/>
          </w:tcPr>
          <w:p w14:paraId="33F7B8ED">
            <w:pPr>
              <w:widowControl/>
              <w:numPr>
                <w:ilvl w:val="0"/>
                <w:numId w:val="14"/>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包含软/硬件, 网络综合布线</w:t>
            </w:r>
          </w:p>
          <w:p w14:paraId="417E1B90">
            <w:pPr>
              <w:widowControl/>
              <w:numPr>
                <w:ilvl w:val="0"/>
                <w:numId w:val="13"/>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自动排播, 播放列表管理</w:t>
            </w:r>
          </w:p>
          <w:p w14:paraId="1DF43762">
            <w:pPr>
              <w:widowControl/>
              <w:numPr>
                <w:ilvl w:val="0"/>
                <w:numId w:val="13"/>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放映设备监控与管理</w:t>
            </w:r>
          </w:p>
          <w:p w14:paraId="3CFD7CCC">
            <w:pPr>
              <w:widowControl/>
              <w:numPr>
                <w:ilvl w:val="0"/>
                <w:numId w:val="13"/>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远程操控,智能停映</w:t>
            </w:r>
          </w:p>
          <w:p w14:paraId="63A981E9">
            <w:pPr>
              <w:widowControl/>
              <w:numPr>
                <w:ilvl w:val="0"/>
                <w:numId w:val="13"/>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影片管理与传输</w:t>
            </w:r>
          </w:p>
          <w:p w14:paraId="78E9C5BF">
            <w:pPr>
              <w:widowControl/>
              <w:numPr>
                <w:ilvl w:val="0"/>
                <w:numId w:val="13"/>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密钥管理</w:t>
            </w:r>
          </w:p>
          <w:p w14:paraId="3B542520">
            <w:pPr>
              <w:widowControl/>
              <w:numPr>
                <w:ilvl w:val="0"/>
                <w:numId w:val="13"/>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服务器内存≥10GB</w:t>
            </w:r>
          </w:p>
          <w:p w14:paraId="26211677">
            <w:pPr>
              <w:widowControl/>
              <w:numPr>
                <w:ilvl w:val="0"/>
                <w:numId w:val="13"/>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双固态系统盘 ≥100G</w:t>
            </w:r>
          </w:p>
          <w:p w14:paraId="5E67A4E7">
            <w:pPr>
              <w:widowControl/>
              <w:numPr>
                <w:ilvl w:val="0"/>
                <w:numId w:val="13"/>
              </w:numPr>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Raid5数据盘，4千兆网口</w:t>
            </w:r>
          </w:p>
          <w:p w14:paraId="0674A3EE">
            <w:pPr>
              <w:pStyle w:val="2"/>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43C186DA">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w:t>
            </w:r>
          </w:p>
        </w:tc>
        <w:tc>
          <w:tcPr>
            <w:tcW w:w="443" w:type="pct"/>
            <w:tcBorders>
              <w:top w:val="single" w:color="auto" w:sz="4" w:space="0"/>
              <w:left w:val="single" w:color="auto" w:sz="4" w:space="0"/>
              <w:bottom w:val="single" w:color="auto" w:sz="4" w:space="0"/>
              <w:right w:val="single" w:color="auto" w:sz="4" w:space="0"/>
            </w:tcBorders>
            <w:noWrap/>
            <w:vAlign w:val="center"/>
          </w:tcPr>
          <w:p w14:paraId="725F252B">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套</w:t>
            </w:r>
          </w:p>
        </w:tc>
      </w:tr>
      <w:tr w14:paraId="74E54EEA">
        <w:tblPrEx>
          <w:tblCellMar>
            <w:top w:w="0" w:type="dxa"/>
            <w:left w:w="108" w:type="dxa"/>
            <w:bottom w:w="0" w:type="dxa"/>
            <w:right w:w="108" w:type="dxa"/>
          </w:tblCellMar>
        </w:tblPrEx>
        <w:trPr>
          <w:trHeight w:val="591" w:hRule="atLeast"/>
        </w:trPr>
        <w:tc>
          <w:tcPr>
            <w:tcW w:w="1155" w:type="pct"/>
            <w:tcBorders>
              <w:top w:val="single" w:color="auto" w:sz="4" w:space="0"/>
              <w:left w:val="single" w:color="auto" w:sz="4" w:space="0"/>
              <w:bottom w:val="single" w:color="auto" w:sz="4" w:space="0"/>
              <w:right w:val="single" w:color="auto" w:sz="4" w:space="0"/>
            </w:tcBorders>
            <w:vAlign w:val="center"/>
          </w:tcPr>
          <w:p w14:paraId="7B15BE3D">
            <w:pPr>
              <w:widowControl/>
              <w:jc w:val="center"/>
              <w:textAlignment w:val="center"/>
              <w:rPr>
                <w:rFonts w:hint="eastAsia" w:ascii="等线" w:hAnsi="等线" w:eastAsia="等线" w:cs="等线"/>
                <w:color w:val="000000"/>
                <w:sz w:val="22"/>
                <w:szCs w:val="22"/>
              </w:rPr>
            </w:pPr>
            <w:r>
              <w:rPr>
                <w:rFonts w:hint="eastAsia" w:ascii="等线" w:hAnsi="等线" w:eastAsia="等线" w:cs="等线"/>
                <w:color w:val="000000"/>
                <w:sz w:val="22"/>
                <w:szCs w:val="22"/>
              </w:rPr>
              <w:t>扩声设备</w:t>
            </w:r>
          </w:p>
        </w:tc>
        <w:tc>
          <w:tcPr>
            <w:tcW w:w="3171" w:type="pct"/>
            <w:tcBorders>
              <w:top w:val="single" w:color="auto" w:sz="4" w:space="0"/>
              <w:left w:val="single" w:color="auto" w:sz="4" w:space="0"/>
              <w:bottom w:val="single" w:color="auto" w:sz="4" w:space="0"/>
              <w:right w:val="single" w:color="auto" w:sz="4" w:space="0"/>
            </w:tcBorders>
            <w:vAlign w:val="center"/>
          </w:tcPr>
          <w:p w14:paraId="0C302D23">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主扩声、补声、功放、数字调音台、话筒</w:t>
            </w:r>
          </w:p>
        </w:tc>
        <w:tc>
          <w:tcPr>
            <w:tcW w:w="230" w:type="pct"/>
            <w:tcBorders>
              <w:top w:val="single" w:color="auto" w:sz="4" w:space="0"/>
              <w:left w:val="single" w:color="auto" w:sz="4" w:space="0"/>
              <w:bottom w:val="single" w:color="auto" w:sz="4" w:space="0"/>
              <w:right w:val="single" w:color="auto" w:sz="4" w:space="0"/>
            </w:tcBorders>
            <w:noWrap/>
            <w:vAlign w:val="center"/>
          </w:tcPr>
          <w:p w14:paraId="2F405EAC">
            <w:pPr>
              <w:widowControl/>
              <w:jc w:val="center"/>
              <w:textAlignment w:val="center"/>
              <w:rPr>
                <w:rFonts w:hint="eastAsia" w:ascii="等线" w:hAnsi="等线" w:eastAsia="等线" w:cs="等线"/>
                <w:color w:val="000000"/>
                <w:kern w:val="0"/>
                <w:sz w:val="22"/>
                <w:szCs w:val="22"/>
                <w:lang w:bidi="ar"/>
              </w:rPr>
            </w:pPr>
          </w:p>
        </w:tc>
        <w:tc>
          <w:tcPr>
            <w:tcW w:w="443" w:type="pct"/>
            <w:tcBorders>
              <w:top w:val="single" w:color="auto" w:sz="4" w:space="0"/>
              <w:left w:val="single" w:color="auto" w:sz="4" w:space="0"/>
              <w:bottom w:val="single" w:color="auto" w:sz="4" w:space="0"/>
              <w:right w:val="single" w:color="auto" w:sz="4" w:space="0"/>
            </w:tcBorders>
            <w:noWrap/>
            <w:vAlign w:val="center"/>
          </w:tcPr>
          <w:p w14:paraId="537CC6D9">
            <w:pPr>
              <w:widowControl/>
              <w:jc w:val="center"/>
              <w:textAlignment w:val="center"/>
              <w:rPr>
                <w:rFonts w:hint="eastAsia" w:ascii="等线" w:hAnsi="等线" w:eastAsia="等线" w:cs="等线"/>
                <w:color w:val="000000"/>
                <w:kern w:val="0"/>
                <w:sz w:val="22"/>
                <w:szCs w:val="22"/>
                <w:lang w:bidi="ar"/>
              </w:rPr>
            </w:pPr>
          </w:p>
        </w:tc>
      </w:tr>
      <w:tr w14:paraId="30F37C5B">
        <w:tblPrEx>
          <w:tblCellMar>
            <w:top w:w="0" w:type="dxa"/>
            <w:left w:w="108" w:type="dxa"/>
            <w:bottom w:w="0" w:type="dxa"/>
            <w:right w:w="108" w:type="dxa"/>
          </w:tblCellMar>
        </w:tblPrEx>
        <w:trPr>
          <w:trHeight w:val="591" w:hRule="atLeast"/>
        </w:trPr>
        <w:tc>
          <w:tcPr>
            <w:tcW w:w="1155" w:type="pct"/>
            <w:tcBorders>
              <w:top w:val="single" w:color="auto" w:sz="4" w:space="0"/>
              <w:left w:val="single" w:color="auto" w:sz="4" w:space="0"/>
              <w:bottom w:val="single" w:color="auto" w:sz="4" w:space="0"/>
              <w:right w:val="single" w:color="auto" w:sz="4" w:space="0"/>
            </w:tcBorders>
            <w:vAlign w:val="center"/>
          </w:tcPr>
          <w:p w14:paraId="7C292AB3">
            <w:pPr>
              <w:widowControl/>
              <w:jc w:val="center"/>
              <w:textAlignment w:val="center"/>
              <w:rPr>
                <w:rFonts w:hint="eastAsia" w:ascii="等线" w:hAnsi="等线" w:eastAsia="等线" w:cs="等线"/>
                <w:color w:val="000000"/>
                <w:sz w:val="22"/>
                <w:szCs w:val="22"/>
              </w:rPr>
            </w:pPr>
            <w:r>
              <w:rPr>
                <w:rFonts w:hint="eastAsia" w:ascii="宋体" w:hAnsi="宋体" w:cs="宋体"/>
                <w:color w:val="000000"/>
                <w:kern w:val="0"/>
                <w:sz w:val="22"/>
                <w:szCs w:val="22"/>
              </w:rPr>
              <w:t>主扩声</w:t>
            </w:r>
          </w:p>
        </w:tc>
        <w:tc>
          <w:tcPr>
            <w:tcW w:w="3171" w:type="pct"/>
            <w:tcBorders>
              <w:top w:val="single" w:color="auto" w:sz="4" w:space="0"/>
              <w:left w:val="single" w:color="auto" w:sz="4" w:space="0"/>
              <w:bottom w:val="single" w:color="auto" w:sz="4" w:space="0"/>
              <w:right w:val="single" w:color="auto" w:sz="4" w:space="0"/>
            </w:tcBorders>
            <w:vAlign w:val="center"/>
          </w:tcPr>
          <w:p w14:paraId="38D417D9">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单元:6个100mm( 4inch)EMX单元</w:t>
            </w:r>
          </w:p>
          <w:p w14:paraId="3BA3A30B">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有效频率范围: :65Hz ~ 20kHz</w:t>
            </w:r>
          </w:p>
          <w:p w14:paraId="0FB2B437">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额定阻抗:4 ohm</w:t>
            </w:r>
          </w:p>
          <w:p w14:paraId="55B865F0">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功率:250W/500W/1000W（连续/节目/峰值）</w:t>
            </w:r>
          </w:p>
          <w:p w14:paraId="1E2B9EBA">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 xml:space="preserve">灵敏度(1W@1M):92dB </w:t>
            </w:r>
          </w:p>
          <w:p w14:paraId="0A7506B0">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 xml:space="preserve">峰值声压级:128dB  </w:t>
            </w:r>
          </w:p>
          <w:p w14:paraId="468E3B7E">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覆盖角</w:t>
            </w:r>
            <w:r>
              <w:rPr>
                <w:rFonts w:hint="eastAsia" w:ascii="等线" w:hAnsi="等线" w:eastAsia="等线" w:cs="等线"/>
                <w:color w:val="000000"/>
                <w:kern w:val="0"/>
                <w:sz w:val="22"/>
                <w:szCs w:val="22"/>
                <w:lang w:bidi="ar"/>
              </w:rPr>
              <w:tab/>
            </w:r>
            <w:r>
              <w:rPr>
                <w:rFonts w:hint="eastAsia" w:ascii="等线" w:hAnsi="等线" w:eastAsia="等线" w:cs="等线"/>
                <w:color w:val="000000"/>
                <w:kern w:val="0"/>
                <w:sz w:val="22"/>
                <w:szCs w:val="22"/>
                <w:lang w:bidi="ar"/>
              </w:rPr>
              <w:t xml:space="preserve">:垂直覆盖角：30°     水平覆盖角：120° </w:t>
            </w:r>
          </w:p>
          <w:p w14:paraId="598D3B65">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音箱材质:全金属复合材料</w:t>
            </w:r>
          </w:p>
          <w:p w14:paraId="1A2C7DBE">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外形尺寸(HxWxD):754 x 130 x 152mm</w:t>
            </w:r>
          </w:p>
          <w:p w14:paraId="21DD3611">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净重:8.0kg</w:t>
            </w:r>
          </w:p>
          <w:p w14:paraId="52580C77">
            <w:pPr>
              <w:pStyle w:val="2"/>
              <w:rPr>
                <w:lang w:bidi="ar"/>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16E31051">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2</w:t>
            </w:r>
          </w:p>
        </w:tc>
        <w:tc>
          <w:tcPr>
            <w:tcW w:w="443" w:type="pct"/>
            <w:tcBorders>
              <w:top w:val="single" w:color="auto" w:sz="4" w:space="0"/>
              <w:left w:val="single" w:color="auto" w:sz="4" w:space="0"/>
              <w:bottom w:val="single" w:color="auto" w:sz="4" w:space="0"/>
              <w:right w:val="single" w:color="auto" w:sz="4" w:space="0"/>
            </w:tcBorders>
            <w:noWrap/>
            <w:vAlign w:val="center"/>
          </w:tcPr>
          <w:p w14:paraId="1FF5BA29">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个</w:t>
            </w:r>
          </w:p>
        </w:tc>
      </w:tr>
      <w:tr w14:paraId="3A865F29">
        <w:tblPrEx>
          <w:tblCellMar>
            <w:top w:w="0" w:type="dxa"/>
            <w:left w:w="108" w:type="dxa"/>
            <w:bottom w:w="0" w:type="dxa"/>
            <w:right w:w="108" w:type="dxa"/>
          </w:tblCellMar>
        </w:tblPrEx>
        <w:trPr>
          <w:trHeight w:val="591" w:hRule="atLeast"/>
        </w:trPr>
        <w:tc>
          <w:tcPr>
            <w:tcW w:w="1155" w:type="pct"/>
            <w:tcBorders>
              <w:top w:val="single" w:color="auto" w:sz="4" w:space="0"/>
              <w:left w:val="single" w:color="auto" w:sz="4" w:space="0"/>
              <w:bottom w:val="single" w:color="auto" w:sz="4" w:space="0"/>
              <w:right w:val="single" w:color="auto" w:sz="4" w:space="0"/>
            </w:tcBorders>
            <w:vAlign w:val="center"/>
          </w:tcPr>
          <w:p w14:paraId="3C43EC80">
            <w:pPr>
              <w:widowControl/>
              <w:jc w:val="center"/>
              <w:textAlignment w:val="center"/>
              <w:rPr>
                <w:rFonts w:hint="eastAsia" w:ascii="等线" w:hAnsi="等线" w:eastAsia="等线" w:cs="等线"/>
                <w:color w:val="000000"/>
                <w:sz w:val="22"/>
                <w:szCs w:val="22"/>
              </w:rPr>
            </w:pPr>
            <w:r>
              <w:rPr>
                <w:rFonts w:hint="eastAsia" w:ascii="宋体" w:hAnsi="宋体" w:cs="宋体"/>
                <w:color w:val="000000"/>
                <w:kern w:val="0"/>
                <w:sz w:val="22"/>
                <w:szCs w:val="22"/>
              </w:rPr>
              <w:t>补声</w:t>
            </w:r>
          </w:p>
        </w:tc>
        <w:tc>
          <w:tcPr>
            <w:tcW w:w="3171" w:type="pct"/>
            <w:tcBorders>
              <w:top w:val="single" w:color="auto" w:sz="4" w:space="0"/>
              <w:left w:val="single" w:color="auto" w:sz="4" w:space="0"/>
              <w:bottom w:val="single" w:color="auto" w:sz="4" w:space="0"/>
              <w:right w:val="single" w:color="auto" w:sz="4" w:space="0"/>
            </w:tcBorders>
            <w:vAlign w:val="center"/>
          </w:tcPr>
          <w:p w14:paraId="6CDA8B5A">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单元:3个100mm( 4inch)EMX单元</w:t>
            </w:r>
          </w:p>
          <w:p w14:paraId="1720F468">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有效频率范围 :100Hz ~ 20kHz</w:t>
            </w:r>
          </w:p>
          <w:p w14:paraId="664D053B">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额定阻抗: 8 ohm</w:t>
            </w:r>
          </w:p>
          <w:p w14:paraId="33CEA544">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功率:100W/200W/400W（连续/节目/峰值）</w:t>
            </w:r>
          </w:p>
          <w:p w14:paraId="19A6ECB6">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 xml:space="preserve">灵敏度(1W@1M):91dB    </w:t>
            </w:r>
          </w:p>
          <w:p w14:paraId="33D3AEC7">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 xml:space="preserve">峰值声压级:123dB   </w:t>
            </w:r>
          </w:p>
          <w:p w14:paraId="5AE4C5A8">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覆盖角</w:t>
            </w:r>
            <w:r>
              <w:rPr>
                <w:rFonts w:hint="eastAsia" w:ascii="等线" w:hAnsi="等线" w:eastAsia="等线" w:cs="等线"/>
                <w:color w:val="000000"/>
                <w:kern w:val="0"/>
                <w:sz w:val="22"/>
                <w:szCs w:val="22"/>
                <w:lang w:bidi="ar"/>
              </w:rPr>
              <w:tab/>
            </w:r>
            <w:r>
              <w:rPr>
                <w:rFonts w:hint="eastAsia" w:ascii="等线" w:hAnsi="等线" w:eastAsia="等线" w:cs="等线"/>
                <w:color w:val="000000"/>
                <w:kern w:val="0"/>
                <w:sz w:val="22"/>
                <w:szCs w:val="22"/>
                <w:lang w:bidi="ar"/>
              </w:rPr>
              <w:t>:  垂直覆盖角：30°        水平覆盖角：120°</w:t>
            </w:r>
          </w:p>
          <w:p w14:paraId="157FB52C">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音箱材质:全金属复合材料</w:t>
            </w:r>
          </w:p>
          <w:p w14:paraId="5F56051E">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外形尺寸(HxWxD):420x 130 x 152mm</w:t>
            </w:r>
          </w:p>
          <w:p w14:paraId="3B6D25B3">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净重:4.5kg</w:t>
            </w:r>
          </w:p>
          <w:p w14:paraId="14D4C098">
            <w:pPr>
              <w:pStyle w:val="2"/>
              <w:rPr>
                <w:lang w:bidi="ar"/>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40ED55BE">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2</w:t>
            </w:r>
          </w:p>
        </w:tc>
        <w:tc>
          <w:tcPr>
            <w:tcW w:w="443" w:type="pct"/>
            <w:tcBorders>
              <w:top w:val="single" w:color="auto" w:sz="4" w:space="0"/>
              <w:left w:val="single" w:color="auto" w:sz="4" w:space="0"/>
              <w:bottom w:val="single" w:color="auto" w:sz="4" w:space="0"/>
              <w:right w:val="single" w:color="auto" w:sz="4" w:space="0"/>
            </w:tcBorders>
            <w:noWrap/>
            <w:vAlign w:val="center"/>
          </w:tcPr>
          <w:p w14:paraId="6BFF41A6">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个</w:t>
            </w:r>
          </w:p>
        </w:tc>
      </w:tr>
      <w:tr w14:paraId="241F0141">
        <w:tblPrEx>
          <w:tblCellMar>
            <w:top w:w="0" w:type="dxa"/>
            <w:left w:w="108" w:type="dxa"/>
            <w:bottom w:w="0" w:type="dxa"/>
            <w:right w:w="108" w:type="dxa"/>
          </w:tblCellMar>
        </w:tblPrEx>
        <w:trPr>
          <w:trHeight w:val="591" w:hRule="atLeast"/>
        </w:trPr>
        <w:tc>
          <w:tcPr>
            <w:tcW w:w="1155" w:type="pct"/>
            <w:tcBorders>
              <w:top w:val="single" w:color="auto" w:sz="4" w:space="0"/>
              <w:left w:val="single" w:color="auto" w:sz="4" w:space="0"/>
              <w:bottom w:val="single" w:color="auto" w:sz="4" w:space="0"/>
              <w:right w:val="single" w:color="auto" w:sz="4" w:space="0"/>
            </w:tcBorders>
            <w:vAlign w:val="center"/>
          </w:tcPr>
          <w:p w14:paraId="2BD74EFB">
            <w:pPr>
              <w:widowControl/>
              <w:jc w:val="center"/>
              <w:textAlignment w:val="center"/>
              <w:rPr>
                <w:rFonts w:hint="eastAsia" w:ascii="等线" w:hAnsi="等线" w:eastAsia="等线" w:cs="等线"/>
                <w:color w:val="000000"/>
                <w:sz w:val="22"/>
                <w:szCs w:val="22"/>
              </w:rPr>
            </w:pPr>
            <w:r>
              <w:rPr>
                <w:rFonts w:hint="eastAsia" w:ascii="宋体" w:hAnsi="宋体" w:cs="宋体"/>
                <w:color w:val="000000"/>
                <w:kern w:val="0"/>
                <w:sz w:val="22"/>
                <w:szCs w:val="22"/>
              </w:rPr>
              <w:t>功放</w:t>
            </w:r>
          </w:p>
        </w:tc>
        <w:tc>
          <w:tcPr>
            <w:tcW w:w="3171" w:type="pct"/>
            <w:tcBorders>
              <w:top w:val="single" w:color="auto" w:sz="4" w:space="0"/>
              <w:left w:val="single" w:color="auto" w:sz="4" w:space="0"/>
              <w:bottom w:val="single" w:color="auto" w:sz="4" w:space="0"/>
              <w:right w:val="single" w:color="auto" w:sz="4" w:space="0"/>
            </w:tcBorders>
            <w:vAlign w:val="center"/>
          </w:tcPr>
          <w:p w14:paraId="1716CC9C">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立体声输出功率：4×400W 8Ω，4×560W 4Ω；4×700 2Ω；桥接：2×960W 8Ω，</w:t>
            </w:r>
          </w:p>
          <w:p w14:paraId="60B446C6">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频率响应： 20Hz-20KHz (+/-0.5dB)；</w:t>
            </w:r>
          </w:p>
          <w:p w14:paraId="7F0C0C6B">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倍噪比：&gt;105dB；</w:t>
            </w:r>
          </w:p>
          <w:p w14:paraId="0C4553B2">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输入阻抗：20KΩ  Balanced/10KΩ  Unbalanced；</w:t>
            </w:r>
          </w:p>
          <w:p w14:paraId="5AA879A7">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阻尼系数：&gt;900；</w:t>
            </w:r>
          </w:p>
          <w:p w14:paraId="77F50592">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输入接口：3针XLR接口；保护：短路，断路，直流，过热，射频，超低频，电路峰值限制器(CPL)</w:t>
            </w:r>
          </w:p>
          <w:p w14:paraId="7DFDCEBE">
            <w:pPr>
              <w:pStyle w:val="2"/>
              <w:rPr>
                <w:lang w:bidi="ar"/>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0CF14DE1">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w:t>
            </w:r>
          </w:p>
        </w:tc>
        <w:tc>
          <w:tcPr>
            <w:tcW w:w="443" w:type="pct"/>
            <w:tcBorders>
              <w:top w:val="single" w:color="auto" w:sz="4" w:space="0"/>
              <w:left w:val="single" w:color="auto" w:sz="4" w:space="0"/>
              <w:bottom w:val="single" w:color="auto" w:sz="4" w:space="0"/>
              <w:right w:val="single" w:color="auto" w:sz="4" w:space="0"/>
            </w:tcBorders>
            <w:noWrap/>
            <w:vAlign w:val="center"/>
          </w:tcPr>
          <w:p w14:paraId="20457826">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台</w:t>
            </w:r>
          </w:p>
        </w:tc>
      </w:tr>
      <w:tr w14:paraId="35A4258C">
        <w:tblPrEx>
          <w:tblCellMar>
            <w:top w:w="0" w:type="dxa"/>
            <w:left w:w="108" w:type="dxa"/>
            <w:bottom w:w="0" w:type="dxa"/>
            <w:right w:w="108" w:type="dxa"/>
          </w:tblCellMar>
        </w:tblPrEx>
        <w:trPr>
          <w:trHeight w:val="591" w:hRule="atLeast"/>
        </w:trPr>
        <w:tc>
          <w:tcPr>
            <w:tcW w:w="1155" w:type="pct"/>
            <w:tcBorders>
              <w:top w:val="single" w:color="auto" w:sz="4" w:space="0"/>
              <w:left w:val="single" w:color="auto" w:sz="4" w:space="0"/>
              <w:bottom w:val="single" w:color="auto" w:sz="4" w:space="0"/>
              <w:right w:val="single" w:color="auto" w:sz="4" w:space="0"/>
            </w:tcBorders>
            <w:vAlign w:val="center"/>
          </w:tcPr>
          <w:p w14:paraId="79CC5C49">
            <w:pPr>
              <w:widowControl/>
              <w:jc w:val="center"/>
              <w:textAlignment w:val="center"/>
              <w:rPr>
                <w:rFonts w:hint="eastAsia" w:ascii="等线" w:hAnsi="等线" w:eastAsia="等线" w:cs="等线"/>
                <w:color w:val="000000"/>
                <w:sz w:val="22"/>
                <w:szCs w:val="22"/>
              </w:rPr>
            </w:pPr>
            <w:r>
              <w:rPr>
                <w:rFonts w:hint="eastAsia" w:ascii="宋体" w:hAnsi="宋体" w:cs="宋体"/>
                <w:color w:val="000000"/>
                <w:kern w:val="0"/>
                <w:sz w:val="22"/>
                <w:szCs w:val="22"/>
              </w:rPr>
              <w:t>16路数字调音台</w:t>
            </w:r>
          </w:p>
        </w:tc>
        <w:tc>
          <w:tcPr>
            <w:tcW w:w="3171" w:type="pct"/>
            <w:tcBorders>
              <w:top w:val="single" w:color="auto" w:sz="4" w:space="0"/>
              <w:left w:val="single" w:color="auto" w:sz="4" w:space="0"/>
              <w:bottom w:val="single" w:color="auto" w:sz="4" w:space="0"/>
              <w:right w:val="single" w:color="auto" w:sz="4" w:space="0"/>
            </w:tcBorders>
            <w:vAlign w:val="center"/>
          </w:tcPr>
          <w:p w14:paraId="2468DD53">
            <w:pPr>
              <w:widowControl/>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16路调音台</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频率响应:话筒/线路输入到任何输出端 20Hz-20kHz±0.5dB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总谐波失真和噪声: -30dBu 输入到混音，话筒增益 30dB &lt;0.007%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话筒输入等效输入噪声 :22Hz-22kHz不加权 -128dBu(信源内阻150Ω)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母线噪声: 20Hz-20kHz 宽带线路输入 终端负载为150Ω，RMS测量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混音 :推子在下面，大混音电平 &lt;-85dBu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通道之间串音 :通道哑音 &gt;96dB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推子位置(标记+10) &gt;96dB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辅助发送端口 &gt;86dB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输入和输出阻抗: 话筒输入 2.4kΩ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线路输入 11kΩ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立体声输入 100kΩ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输出 75Ω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输入和输出电平: 话筒/线路的大输入电平为 +17dBu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线路的大输入电平为 +30dBu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立体声大输入电平 +30dBu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大混音输出电平为 +20dBu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耳机大输出电平为 300mw/200Ω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EQ(单声道输入): HF(高频) 12kHz,±15dB，搁架式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MF(中频) 140Hz-3kHz，士15dB，Q=1.5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LF(低频) 80Hz，±15dB，搁架式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输出电平表: L和R混音输出电平表为10段LED指示灯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工作条件: 温度范围 -10℃~+30℃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相对湿度 0%~80%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供电: 集成轻型开关电源 交流输入:85V-270V，50/60Hz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电源消耗: 小于 20W</w:t>
            </w:r>
          </w:p>
          <w:p w14:paraId="2FFD4831">
            <w:pPr>
              <w:pStyle w:val="2"/>
              <w:rPr>
                <w:lang w:bidi="ar"/>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22C75A64">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w:t>
            </w:r>
          </w:p>
        </w:tc>
        <w:tc>
          <w:tcPr>
            <w:tcW w:w="443" w:type="pct"/>
            <w:tcBorders>
              <w:top w:val="single" w:color="auto" w:sz="4" w:space="0"/>
              <w:left w:val="single" w:color="auto" w:sz="4" w:space="0"/>
              <w:bottom w:val="single" w:color="auto" w:sz="4" w:space="0"/>
              <w:right w:val="single" w:color="auto" w:sz="4" w:space="0"/>
            </w:tcBorders>
            <w:noWrap/>
            <w:vAlign w:val="center"/>
          </w:tcPr>
          <w:p w14:paraId="54E378F5">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台</w:t>
            </w:r>
          </w:p>
        </w:tc>
      </w:tr>
      <w:tr w14:paraId="6908894C">
        <w:tblPrEx>
          <w:tblCellMar>
            <w:top w:w="0" w:type="dxa"/>
            <w:left w:w="108" w:type="dxa"/>
            <w:bottom w:w="0" w:type="dxa"/>
            <w:right w:w="108" w:type="dxa"/>
          </w:tblCellMar>
        </w:tblPrEx>
        <w:trPr>
          <w:trHeight w:val="591" w:hRule="atLeast"/>
        </w:trPr>
        <w:tc>
          <w:tcPr>
            <w:tcW w:w="1155" w:type="pct"/>
            <w:tcBorders>
              <w:top w:val="single" w:color="auto" w:sz="4" w:space="0"/>
              <w:left w:val="single" w:color="auto" w:sz="4" w:space="0"/>
              <w:bottom w:val="single" w:color="auto" w:sz="4" w:space="0"/>
              <w:right w:val="single" w:color="auto" w:sz="4" w:space="0"/>
            </w:tcBorders>
            <w:vAlign w:val="center"/>
          </w:tcPr>
          <w:p w14:paraId="63455F6C">
            <w:pPr>
              <w:widowControl/>
              <w:jc w:val="center"/>
              <w:textAlignment w:val="center"/>
              <w:rPr>
                <w:rFonts w:hint="eastAsia" w:ascii="等线" w:hAnsi="等线" w:eastAsia="等线" w:cs="等线"/>
                <w:color w:val="000000"/>
                <w:sz w:val="22"/>
                <w:szCs w:val="22"/>
              </w:rPr>
            </w:pPr>
            <w:r>
              <w:rPr>
                <w:rFonts w:hint="eastAsia" w:ascii="宋体" w:hAnsi="宋体" w:cs="宋体"/>
                <w:color w:val="000000"/>
                <w:kern w:val="0"/>
                <w:sz w:val="22"/>
                <w:szCs w:val="22"/>
              </w:rPr>
              <w:t>无线手持话筒套装</w:t>
            </w:r>
          </w:p>
        </w:tc>
        <w:tc>
          <w:tcPr>
            <w:tcW w:w="3171" w:type="pct"/>
            <w:tcBorders>
              <w:top w:val="single" w:color="auto" w:sz="4" w:space="0"/>
              <w:left w:val="single" w:color="auto" w:sz="4" w:space="0"/>
              <w:bottom w:val="single" w:color="auto" w:sz="4" w:space="0"/>
              <w:right w:val="single" w:color="auto" w:sz="4" w:space="0"/>
            </w:tcBorders>
            <w:vAlign w:val="center"/>
          </w:tcPr>
          <w:p w14:paraId="521898E9">
            <w:pPr>
              <w:widowControl/>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·高保真声音传输电路，确保声音的清晰度和还原性，配专用演出咪芯，使演出效果更好。</w:t>
            </w:r>
          </w:p>
          <w:p w14:paraId="1286221C">
            <w:pPr>
              <w:widowControl/>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手咪采用目前最先进的升压电路，有效延长了电池的使用时间，6-8小时。</w:t>
            </w:r>
          </w:p>
          <w:p w14:paraId="621EC6CC">
            <w:pPr>
              <w:widowControl/>
              <w:jc w:val="left"/>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在接收机上使用多重静噪控制电路，有效防止外部信号干扰。200个信道（A通道1-100，B通道101-200），多套使用时不串频，不掉频。可在同一场合同时叠机使用5套，特别适用学校工程，大型，小型演出等场合。没有开关冲击声，确保后级功放及扬声器的安全。                                                                                             发射手咪与接收机均带液晶显示，手持带电池用电量显示，工作状态一目了然。                                                                   频率范围:640-900MHZ</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最大频道数:200</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频带宽度:50MHz</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 接收灵敏度:-105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信噪比:&gt;105dB(A) </w:t>
            </w:r>
            <w:r>
              <w:rPr>
                <w:rFonts w:hint="eastAsia" w:ascii="等线" w:hAnsi="等线" w:eastAsia="等线" w:cs="等线"/>
                <w:color w:val="000000"/>
                <w:kern w:val="0"/>
                <w:sz w:val="22"/>
                <w:szCs w:val="22"/>
                <w:lang w:bidi="ar"/>
              </w:rPr>
              <w:br w:type="textWrapping"/>
            </w:r>
            <w:r>
              <w:rPr>
                <w:rFonts w:hint="eastAsia" w:ascii="等线" w:hAnsi="等线" w:eastAsia="等线" w:cs="等线"/>
                <w:color w:val="000000"/>
                <w:kern w:val="0"/>
                <w:sz w:val="22"/>
                <w:szCs w:val="22"/>
                <w:lang w:bidi="ar"/>
              </w:rPr>
              <w:t xml:space="preserve">失真度:&lt;1% 音频输出电平:8dBu max </w:t>
            </w:r>
          </w:p>
          <w:p w14:paraId="776AA15A">
            <w:pPr>
              <w:pStyle w:val="2"/>
              <w:rPr>
                <w:lang w:bidi="ar"/>
              </w:rPr>
            </w:pPr>
            <w:r>
              <w:rPr>
                <w:rFonts w:hint="eastAsia" w:ascii="等线" w:hAnsi="等线" w:eastAsia="等线" w:cs="等线"/>
                <w:color w:val="000000"/>
                <w:kern w:val="0"/>
                <w:sz w:val="22"/>
                <w:szCs w:val="22"/>
                <w:lang w:bidi="ar"/>
              </w:rPr>
              <w:t>上述参数为最低要求，投标品牌参数不得低于上述参数。</w:t>
            </w:r>
          </w:p>
        </w:tc>
        <w:tc>
          <w:tcPr>
            <w:tcW w:w="230" w:type="pct"/>
            <w:tcBorders>
              <w:top w:val="single" w:color="auto" w:sz="4" w:space="0"/>
              <w:left w:val="single" w:color="auto" w:sz="4" w:space="0"/>
              <w:bottom w:val="single" w:color="auto" w:sz="4" w:space="0"/>
              <w:right w:val="single" w:color="auto" w:sz="4" w:space="0"/>
            </w:tcBorders>
            <w:noWrap/>
            <w:vAlign w:val="center"/>
          </w:tcPr>
          <w:p w14:paraId="50BCE1D8">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w:t>
            </w:r>
          </w:p>
        </w:tc>
        <w:tc>
          <w:tcPr>
            <w:tcW w:w="443" w:type="pct"/>
            <w:tcBorders>
              <w:top w:val="single" w:color="auto" w:sz="4" w:space="0"/>
              <w:left w:val="single" w:color="auto" w:sz="4" w:space="0"/>
              <w:bottom w:val="single" w:color="auto" w:sz="4" w:space="0"/>
              <w:right w:val="single" w:color="auto" w:sz="4" w:space="0"/>
            </w:tcBorders>
            <w:noWrap/>
            <w:vAlign w:val="center"/>
          </w:tcPr>
          <w:p w14:paraId="793107E3">
            <w:pPr>
              <w:widowControl/>
              <w:jc w:val="center"/>
              <w:textAlignment w:val="center"/>
              <w:rPr>
                <w:rFonts w:hint="eastAsia"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套</w:t>
            </w:r>
          </w:p>
        </w:tc>
      </w:tr>
    </w:tbl>
    <w:p w14:paraId="1C117047">
      <w:pPr>
        <w:tabs>
          <w:tab w:val="left" w:pos="360"/>
        </w:tabs>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备注：1.本项目核心产品：放映机3。</w:t>
      </w:r>
    </w:p>
    <w:p w14:paraId="640D24A4">
      <w:pPr>
        <w:tabs>
          <w:tab w:val="left" w:pos="360"/>
        </w:tabs>
        <w:spacing w:line="500" w:lineRule="exact"/>
        <w:ind w:firstLine="560" w:firstLineChars="200"/>
        <w:rPr>
          <w:rFonts w:hint="eastAsia" w:ascii="仿宋" w:hAnsi="仿宋" w:eastAsia="仿宋" w:cs="仿宋"/>
        </w:rPr>
      </w:pPr>
      <w:r>
        <w:rPr>
          <w:rFonts w:hint="eastAsia" w:ascii="仿宋" w:hAnsi="仿宋" w:eastAsia="仿宋" w:cs="仿宋"/>
          <w:sz w:val="28"/>
          <w:szCs w:val="28"/>
        </w:rPr>
        <w:t>2.上述采购要求为最低要求，不得负偏离，否则视为无效报价。</w:t>
      </w:r>
    </w:p>
    <w:p w14:paraId="6743810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bCs/>
          <w:sz w:val="28"/>
          <w:szCs w:val="28"/>
        </w:rPr>
        <w:t>二、项目实施时间和地点：</w:t>
      </w:r>
    </w:p>
    <w:p w14:paraId="23BA5831">
      <w:pPr>
        <w:spacing w:line="500" w:lineRule="exact"/>
        <w:ind w:firstLine="560" w:firstLineChars="200"/>
        <w:rPr>
          <w:rFonts w:hint="eastAsia" w:ascii="仿宋" w:hAnsi="仿宋" w:eastAsia="仿宋" w:cs="仿宋"/>
          <w:spacing w:val="-11"/>
          <w:sz w:val="28"/>
          <w:szCs w:val="28"/>
        </w:rPr>
      </w:pPr>
      <w:r>
        <w:rPr>
          <w:rFonts w:hint="eastAsia" w:ascii="仿宋" w:hAnsi="仿宋" w:eastAsia="仿宋" w:cs="仿宋"/>
          <w:sz w:val="28"/>
          <w:szCs w:val="28"/>
        </w:rPr>
        <w:t>1.供货与安装周期：合同签订之日起45日历天内完成交货、安装、调试</w:t>
      </w:r>
      <w:r>
        <w:rPr>
          <w:rFonts w:hint="eastAsia" w:ascii="仿宋" w:hAnsi="仿宋" w:eastAsia="仿宋" w:cs="仿宋"/>
          <w:spacing w:val="-11"/>
          <w:sz w:val="28"/>
          <w:szCs w:val="28"/>
        </w:rPr>
        <w:t>。</w:t>
      </w:r>
    </w:p>
    <w:p w14:paraId="3ED6176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2.交货、安装地点：成交供应商须根据采购人指定地点、时间安装到位，确保正常使用。</w:t>
      </w:r>
    </w:p>
    <w:p w14:paraId="364DC9AD">
      <w:pPr>
        <w:tabs>
          <w:tab w:val="left" w:pos="360"/>
        </w:tabs>
        <w:spacing w:line="500" w:lineRule="exact"/>
        <w:ind w:firstLine="560" w:firstLineChars="200"/>
        <w:rPr>
          <w:rFonts w:hint="eastAsia" w:ascii="仿宋" w:hAnsi="仿宋" w:eastAsia="仿宋" w:cs="仿宋"/>
          <w:sz w:val="28"/>
          <w:szCs w:val="28"/>
        </w:rPr>
      </w:pPr>
      <w:r>
        <w:rPr>
          <w:rFonts w:hint="eastAsia" w:ascii="仿宋" w:hAnsi="仿宋" w:eastAsia="仿宋" w:cs="仿宋"/>
          <w:b/>
          <w:bCs/>
          <w:sz w:val="28"/>
          <w:szCs w:val="28"/>
        </w:rPr>
        <w:t>三、质量要求：</w:t>
      </w:r>
      <w:r>
        <w:rPr>
          <w:rFonts w:hint="eastAsia" w:ascii="仿宋" w:hAnsi="仿宋" w:eastAsia="仿宋" w:cs="仿宋"/>
          <w:sz w:val="28"/>
          <w:szCs w:val="28"/>
        </w:rPr>
        <w:t>产品必须是全新、未使用过的原装合格正品(包括零部件)，完全符合采购文件规定的质量、规格和性能的要求，达到国家或行业规定的标准。</w:t>
      </w:r>
    </w:p>
    <w:p w14:paraId="613ECF35">
      <w:pPr>
        <w:tabs>
          <w:tab w:val="left" w:pos="360"/>
        </w:tabs>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四、质保、售后服务要求：</w:t>
      </w:r>
    </w:p>
    <w:p w14:paraId="41A00A88">
      <w:pPr>
        <w:tabs>
          <w:tab w:val="left" w:pos="360"/>
        </w:tabs>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1、质保期限：项目整体质保期三年（所有货物质保时间为自验收合格之日起计；货物原厂质保期高于供应商承诺质保期的，按原厂质保期计算）。</w:t>
      </w:r>
    </w:p>
    <w:p w14:paraId="33C0DAEC">
      <w:pPr>
        <w:tabs>
          <w:tab w:val="left" w:pos="360"/>
        </w:tabs>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售后服务要求：在质保期内，同一商品、同一质量问题连续两次维修仍无法正常使用，供应商无条件给予全套更新或退货。在免费质保期内，供应商在接到用户单位电话通知后，必须在1小时之内上门服务，并在4小时内负责修复。如需更换货物或送修，必须在12小时内提供备用货物，并在7个工作日内负责对送修货物维修完毕并送至用户单位处。</w:t>
      </w:r>
    </w:p>
    <w:p w14:paraId="089B6F92">
      <w:pPr>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五、项目验收要求</w:t>
      </w:r>
    </w:p>
    <w:p w14:paraId="4E13F3BA">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启东市市场监督管理局（或采购人委托的第三方检测机构）组织抽样检验并取得合格的检测报告或有效的证明文件后方可安装，安装、调试完毕后，由成交供应商向采购单位提出书面验收申请，采购单位在收到成交供应商提交的书面项目验收申请后7个工作日内，将组织验收小组根据招标公告和供应商投标文件对供应商所供货物及相关产品合格证等进行验收。如验收时发现所供货物的数量、品牌、技术参数等与招投标文件不一致，或无有效产品合格证、存在安全隐患等，根据启东市市场监督管理局（或采购人委托的第三方检测机构）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相关检测费用由供应商承担。</w:t>
      </w:r>
    </w:p>
    <w:p w14:paraId="6E7A0F8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bCs/>
          <w:sz w:val="28"/>
          <w:szCs w:val="28"/>
        </w:rPr>
        <w:t>六、其它事项</w:t>
      </w:r>
    </w:p>
    <w:p w14:paraId="5BB333B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1、成交供应商应充分考虑项目实施过程中的各项安全风险，并采取必要的措施予以保障；若项目实施过程中发生任何安全事故或人身伤害，则均由成交供应商自行承担。</w:t>
      </w:r>
    </w:p>
    <w:p w14:paraId="04D2F23C">
      <w:pPr>
        <w:adjustRightInd w:val="0"/>
        <w:snapToGrid w:val="0"/>
        <w:spacing w:line="500" w:lineRule="exact"/>
        <w:ind w:firstLine="560" w:firstLineChars="200"/>
        <w:rPr>
          <w:rFonts w:ascii="仿宋" w:hAnsi="仿宋" w:eastAsia="仿宋" w:cs="仿宋"/>
          <w:sz w:val="28"/>
          <w:szCs w:val="28"/>
        </w:rPr>
      </w:pPr>
      <w:r>
        <w:rPr>
          <w:rFonts w:hint="eastAsia" w:ascii="仿宋" w:hAnsi="仿宋" w:eastAsia="仿宋" w:cs="仿宋"/>
          <w:sz w:val="28"/>
          <w:szCs w:val="28"/>
        </w:rPr>
        <w:t>2、本项目采用固定总价报价，投标人的总报价中包括但不限于全部货物及辅材的提供、产品制造、质保期内易损件、备品备件、材料、辅材、培训及产品运输、装卸、搬运、保管、检验、包装、运输保险费、安装技术指导、调试、运行、技术服务支持、保修期内维保服务、利润、税金、咨询费等一切费用，以及供应商认为需要的其他费用等，项目实施过程中不另结其它所有费用。</w:t>
      </w:r>
    </w:p>
    <w:p w14:paraId="44AA4CB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成交供应商须负责旧设备拆除、新设备安装，拆除的旧设备归采购人所有；根据本项目实际情况，若后续施工需要对本次采购范围内已安装的设备进行再次拆、装的，则发生的二次拆、装费用由成交供应商承担，项目结算时不再另行支付费用。供应商须在投标时充分考虑此项风险费用，并列入报价。</w:t>
      </w:r>
    </w:p>
    <w:p w14:paraId="544CE8C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4、投标报价应是固定不变的，不得以任何理由予以变更。任何可变的或者附有条件的投标报价，采购人均将予以拒绝，投标人的投标文件将被视为无效投标。</w:t>
      </w:r>
    </w:p>
    <w:p w14:paraId="258C241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5、成交供应商须在设备正式运行前安排专人前往采购人指定地点做好设备使用维护等相关培训工作。</w:t>
      </w:r>
    </w:p>
    <w:p w14:paraId="4DAA3D5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bCs/>
          <w:sz w:val="28"/>
          <w:szCs w:val="28"/>
        </w:rPr>
        <w:t>七、采购标的的其他技术、服务等要求</w:t>
      </w:r>
    </w:p>
    <w:p w14:paraId="16FF01B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本次采购需切实履行绿色采购，参照《江苏省财政厅关于加强政府绿色采购有关事项的通知》（苏财购〔</w:t>
      </w:r>
      <w:r>
        <w:rPr>
          <w:rFonts w:ascii="仿宋" w:hAnsi="仿宋" w:eastAsia="仿宋" w:cs="仿宋"/>
          <w:sz w:val="28"/>
          <w:szCs w:val="28"/>
        </w:rPr>
        <w:t>2023</w:t>
      </w:r>
      <w:r>
        <w:rPr>
          <w:rFonts w:hint="eastAsia" w:ascii="仿宋" w:hAnsi="仿宋" w:eastAsia="仿宋" w:cs="仿宋"/>
          <w:sz w:val="28"/>
          <w:szCs w:val="28"/>
        </w:rPr>
        <w:t>〕</w:t>
      </w:r>
      <w:r>
        <w:rPr>
          <w:rFonts w:ascii="仿宋" w:hAnsi="仿宋" w:eastAsia="仿宋" w:cs="仿宋"/>
          <w:sz w:val="28"/>
          <w:szCs w:val="28"/>
        </w:rPr>
        <w:t>65</w:t>
      </w:r>
      <w:r>
        <w:rPr>
          <w:rFonts w:hint="eastAsia" w:ascii="仿宋" w:hAnsi="仿宋" w:eastAsia="仿宋" w:cs="仿宋"/>
          <w:sz w:val="28"/>
          <w:szCs w:val="28"/>
        </w:rPr>
        <w:t>号），严格落实节能环保产品采购政策，严格执行绿色采购需求标准，推广使用低挥发性有机化合物产品，确保绿色采购落实到位。</w:t>
      </w:r>
    </w:p>
    <w:p w14:paraId="4FF10F7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品目清单见《关于印发环境标志产品政府采购品目清单的通知》（财库〔</w:t>
      </w:r>
      <w:r>
        <w:rPr>
          <w:rFonts w:ascii="仿宋" w:hAnsi="仿宋" w:eastAsia="仿宋" w:cs="仿宋"/>
          <w:sz w:val="28"/>
          <w:szCs w:val="28"/>
        </w:rPr>
        <w:t>2019</w:t>
      </w:r>
      <w:r>
        <w:rPr>
          <w:rFonts w:hint="eastAsia" w:ascii="仿宋" w:hAnsi="仿宋" w:eastAsia="仿宋" w:cs="仿宋"/>
          <w:sz w:val="28"/>
          <w:szCs w:val="28"/>
        </w:rPr>
        <w:t>〕</w:t>
      </w:r>
      <w:r>
        <w:rPr>
          <w:rFonts w:ascii="仿宋" w:hAnsi="仿宋" w:eastAsia="仿宋" w:cs="仿宋"/>
          <w:sz w:val="28"/>
          <w:szCs w:val="28"/>
        </w:rPr>
        <w:t>18</w:t>
      </w:r>
      <w:r>
        <w:rPr>
          <w:rFonts w:hint="eastAsia" w:ascii="仿宋" w:hAnsi="仿宋" w:eastAsia="仿宋" w:cs="仿宋"/>
          <w:sz w:val="28"/>
          <w:szCs w:val="28"/>
        </w:rPr>
        <w:t>号）、《关于印发节能产品政府采购品目清单的通知》（财库〔</w:t>
      </w:r>
      <w:r>
        <w:rPr>
          <w:rFonts w:ascii="仿宋" w:hAnsi="仿宋" w:eastAsia="仿宋" w:cs="仿宋"/>
          <w:sz w:val="28"/>
          <w:szCs w:val="28"/>
        </w:rPr>
        <w:t>2019</w:t>
      </w:r>
      <w:r>
        <w:rPr>
          <w:rFonts w:hint="eastAsia" w:ascii="仿宋" w:hAnsi="仿宋" w:eastAsia="仿宋" w:cs="仿宋"/>
          <w:sz w:val="28"/>
          <w:szCs w:val="28"/>
        </w:rPr>
        <w:t>〕</w:t>
      </w:r>
      <w:r>
        <w:rPr>
          <w:rFonts w:ascii="仿宋" w:hAnsi="仿宋" w:eastAsia="仿宋" w:cs="仿宋"/>
          <w:sz w:val="28"/>
          <w:szCs w:val="28"/>
        </w:rPr>
        <w:t>19</w:t>
      </w:r>
      <w:r>
        <w:rPr>
          <w:rFonts w:hint="eastAsia" w:ascii="仿宋" w:hAnsi="仿宋" w:eastAsia="仿宋" w:cs="仿宋"/>
          <w:sz w:val="28"/>
          <w:szCs w:val="28"/>
        </w:rPr>
        <w:t>号）。</w:t>
      </w:r>
    </w:p>
    <w:p w14:paraId="6DEBF19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需求标准见《商品包装政府采购需求标准（试行）》《快递包装政府采购需求标准</w:t>
      </w:r>
      <w:r>
        <w:rPr>
          <w:rFonts w:hint="eastAsia" w:ascii="仿宋" w:hAnsi="仿宋" w:eastAsia="仿宋" w:cs="仿宋"/>
          <w:sz w:val="28"/>
          <w:szCs w:val="28"/>
          <w:highlight w:val="none"/>
        </w:rPr>
        <w:t>（试行）》（财办库〔</w:t>
      </w:r>
      <w:r>
        <w:rPr>
          <w:rFonts w:ascii="仿宋" w:hAnsi="仿宋" w:eastAsia="仿宋" w:cs="仿宋"/>
          <w:sz w:val="28"/>
          <w:szCs w:val="28"/>
          <w:highlight w:val="none"/>
        </w:rPr>
        <w:t>2020</w:t>
      </w:r>
      <w:r>
        <w:rPr>
          <w:rFonts w:hint="eastAsia" w:ascii="仿宋" w:hAnsi="仿宋" w:eastAsia="仿宋" w:cs="仿宋"/>
          <w:sz w:val="28"/>
          <w:szCs w:val="28"/>
          <w:highlight w:val="none"/>
        </w:rPr>
        <w:t>〕</w:t>
      </w:r>
      <w:r>
        <w:rPr>
          <w:rFonts w:ascii="仿宋" w:hAnsi="仿宋" w:eastAsia="仿宋" w:cs="仿宋"/>
          <w:sz w:val="28"/>
          <w:szCs w:val="28"/>
          <w:highlight w:val="none"/>
        </w:rPr>
        <w:t>123</w:t>
      </w:r>
      <w:r>
        <w:rPr>
          <w:rFonts w:hint="eastAsia" w:ascii="仿宋" w:hAnsi="仿宋" w:eastAsia="仿宋" w:cs="仿宋"/>
          <w:sz w:val="28"/>
          <w:szCs w:val="28"/>
          <w:highlight w:val="none"/>
        </w:rPr>
        <w:t>号）、《绿色数据中心政府采购需求标准（试行）》（财库〔</w:t>
      </w:r>
      <w:r>
        <w:rPr>
          <w:rFonts w:ascii="仿宋" w:hAnsi="仿宋" w:eastAsia="仿宋" w:cs="仿宋"/>
          <w:sz w:val="28"/>
          <w:szCs w:val="28"/>
          <w:highlight w:val="none"/>
        </w:rPr>
        <w:t>2023</w:t>
      </w:r>
      <w:r>
        <w:rPr>
          <w:rFonts w:hint="eastAsia" w:ascii="仿宋" w:hAnsi="仿宋" w:eastAsia="仿宋" w:cs="仿宋"/>
          <w:sz w:val="28"/>
          <w:szCs w:val="28"/>
          <w:highlight w:val="none"/>
        </w:rPr>
        <w:t>〕</w:t>
      </w:r>
      <w:r>
        <w:rPr>
          <w:rFonts w:ascii="仿宋" w:hAnsi="仿宋" w:eastAsia="仿宋" w:cs="仿宋"/>
          <w:sz w:val="28"/>
          <w:szCs w:val="28"/>
          <w:highlight w:val="none"/>
        </w:rPr>
        <w:t>7</w:t>
      </w:r>
      <w:r>
        <w:rPr>
          <w:rFonts w:hint="eastAsia" w:ascii="仿宋" w:hAnsi="仿宋" w:eastAsia="仿宋" w:cs="仿宋"/>
          <w:sz w:val="28"/>
          <w:szCs w:val="28"/>
          <w:highlight w:val="none"/>
        </w:rPr>
        <w:t>号）。</w:t>
      </w:r>
    </w:p>
    <w:p w14:paraId="0FA137FB">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b/>
          <w:bCs/>
          <w:sz w:val="28"/>
          <w:szCs w:val="28"/>
          <w:highlight w:val="none"/>
        </w:rPr>
        <w:t>八、付款方式：</w:t>
      </w:r>
      <w:r>
        <w:rPr>
          <w:rFonts w:hint="eastAsia" w:ascii="仿宋" w:hAnsi="仿宋" w:eastAsia="仿宋" w:cs="仿宋"/>
          <w:sz w:val="28"/>
          <w:szCs w:val="28"/>
          <w:highlight w:val="none"/>
        </w:rPr>
        <w:t>所有设备完成供货与安装，凭启东市市场监督管理局出具的检测报告（如有）和采购单位出具的验收合格单等相关证明材料，由本次采购供应商提供该单位税务正式发票，启东市总工会在收到发票后10个工作日内付合同价的80%，余款从验收合格之日算起一年再支付17%，尾款3%质保期满后一次性付清。</w:t>
      </w:r>
    </w:p>
    <w:p w14:paraId="36ED5C25">
      <w:pPr>
        <w:adjustRightInd w:val="0"/>
        <w:snapToGrid w:val="0"/>
        <w:spacing w:line="50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九、履约保证金：</w:t>
      </w:r>
    </w:p>
    <w:p w14:paraId="4AF4C79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1．本项目成交后的履约保证金为项目成交价的10%，成交供应商的履约保证金须在成交通知书发出之日起至合同签订</w:t>
      </w:r>
      <w:r>
        <w:rPr>
          <w:rFonts w:hint="eastAsia" w:ascii="仿宋" w:hAnsi="仿宋" w:eastAsia="仿宋" w:cs="仿宋"/>
          <w:sz w:val="28"/>
          <w:szCs w:val="28"/>
        </w:rPr>
        <w:t>前汇入采购单位账户（应当以数字人民币、支票、汇票或者金融机构、担保机构出具的保函等非现金形式提交），成交供应商凭成交通知书与采购单位签订合同。超期或未有协商，则视为自动放弃成交资格。</w:t>
      </w:r>
    </w:p>
    <w:p w14:paraId="2B9AB98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2．成交供应商全部履约合同义务，经采购单位验收合格无质量、进度等问题的，采购人在验收合格后一次性退还履约保证金，采购人若逾期退还履约保证金的，按照逾期部分的每日0.05%支付违约金。</w:t>
      </w:r>
    </w:p>
    <w:p w14:paraId="69CBAA8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3．发生以下情况的，履约保证金不予退还或部分退还：</w:t>
      </w:r>
    </w:p>
    <w:p w14:paraId="455927D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a.签订合同后，成交供应商不履行合同义务的，采购单位有权全额扣除履约保证金，全额不予退还，同时采购单位亦有权终止合同，成交供应商还须承担相应的法律赔偿责任。</w:t>
      </w:r>
    </w:p>
    <w:p w14:paraId="085A9BE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171ADDB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bookmarkEnd w:id="52"/>
    <w:p w14:paraId="7CB92459">
      <w:pPr>
        <w:tabs>
          <w:tab w:val="left" w:pos="2520"/>
        </w:tabs>
        <w:adjustRightInd w:val="0"/>
        <w:snapToGrid w:val="0"/>
        <w:spacing w:line="500" w:lineRule="exact"/>
        <w:ind w:firstLine="560" w:firstLineChars="200"/>
        <w:rPr>
          <w:rFonts w:hint="eastAsia" w:ascii="仿宋" w:hAnsi="仿宋" w:eastAsia="仿宋" w:cs="仿宋"/>
        </w:rPr>
      </w:pPr>
      <w:bookmarkStart w:id="53" w:name="_Toc82505665"/>
      <w:r>
        <w:rPr>
          <w:rFonts w:hint="eastAsia" w:ascii="仿宋" w:hAnsi="仿宋" w:eastAsia="仿宋" w:cs="仿宋"/>
          <w:b/>
          <w:sz w:val="28"/>
          <w:szCs w:val="28"/>
        </w:rPr>
        <w:t>十、本项目不接受进口产品响应。</w:t>
      </w:r>
    </w:p>
    <w:p w14:paraId="65B46D3B">
      <w:pPr>
        <w:spacing w:line="500" w:lineRule="exact"/>
        <w:ind w:firstLine="560" w:firstLineChars="200"/>
        <w:rPr>
          <w:rFonts w:hint="eastAsia" w:ascii="仿宋" w:hAnsi="仿宋" w:eastAsia="仿宋" w:cs="仿宋"/>
          <w:b/>
          <w:sz w:val="28"/>
          <w:szCs w:val="28"/>
        </w:rPr>
      </w:pPr>
      <w:r>
        <w:rPr>
          <w:rFonts w:hint="eastAsia" w:ascii="仿宋" w:hAnsi="仿宋" w:eastAsia="仿宋" w:cs="仿宋"/>
          <w:b/>
          <w:sz w:val="28"/>
          <w:szCs w:val="28"/>
        </w:rPr>
        <w:t>十一、合同条款</w:t>
      </w:r>
    </w:p>
    <w:p w14:paraId="55CF56DC">
      <w:pPr>
        <w:widowControl/>
        <w:shd w:val="clear" w:color="auto" w:fill="FFFFFF"/>
        <w:spacing w:line="480" w:lineRule="exact"/>
        <w:ind w:firstLine="480" w:firstLineChars="200"/>
        <w:jc w:val="left"/>
        <w:rPr>
          <w:rFonts w:hint="eastAsia" w:ascii="仿宋" w:hAnsi="仿宋" w:eastAsia="仿宋" w:cs="仿宋"/>
          <w:kern w:val="0"/>
          <w:sz w:val="24"/>
        </w:rPr>
      </w:pPr>
      <w:r>
        <w:rPr>
          <w:rFonts w:hint="eastAsia" w:ascii="仿宋" w:hAnsi="仿宋" w:eastAsia="仿宋" w:cs="仿宋"/>
          <w:sz w:val="24"/>
        </w:rPr>
        <w:t xml:space="preserve">采  购  人: </w:t>
      </w:r>
      <w:r>
        <w:rPr>
          <w:rFonts w:hint="eastAsia" w:ascii="仿宋" w:hAnsi="仿宋" w:eastAsia="仿宋" w:cs="仿宋"/>
          <w:sz w:val="24"/>
          <w:u w:val="single"/>
        </w:rPr>
        <w:t>启东市总工会</w:t>
      </w:r>
      <w:r>
        <w:rPr>
          <w:rFonts w:hint="eastAsia" w:ascii="仿宋" w:hAnsi="仿宋" w:eastAsia="仿宋" w:cs="仿宋"/>
          <w:sz w:val="24"/>
        </w:rPr>
        <w:t>（以下简称“甲方”）</w:t>
      </w:r>
    </w:p>
    <w:p w14:paraId="0E441B61">
      <w:pPr>
        <w:spacing w:line="480" w:lineRule="exact"/>
        <w:ind w:firstLine="480" w:firstLineChars="200"/>
        <w:rPr>
          <w:rFonts w:hint="eastAsia" w:ascii="仿宋" w:hAnsi="仿宋" w:eastAsia="仿宋" w:cs="仿宋"/>
          <w:sz w:val="24"/>
        </w:rPr>
      </w:pPr>
      <w:r>
        <w:rPr>
          <w:rFonts w:hint="eastAsia" w:ascii="仿宋" w:hAnsi="仿宋" w:eastAsia="仿宋" w:cs="仿宋"/>
          <w:sz w:val="24"/>
        </w:rPr>
        <w:t xml:space="preserve">成交供应商: </w:t>
      </w:r>
      <w:r>
        <w:rPr>
          <w:rFonts w:hint="eastAsia" w:ascii="仿宋" w:hAnsi="仿宋" w:eastAsia="仿宋" w:cs="仿宋"/>
          <w:sz w:val="24"/>
          <w:u w:val="single"/>
        </w:rPr>
        <w:t xml:space="preserve">                          </w:t>
      </w:r>
      <w:r>
        <w:rPr>
          <w:rFonts w:hint="eastAsia" w:ascii="仿宋" w:hAnsi="仿宋" w:eastAsia="仿宋" w:cs="仿宋"/>
          <w:sz w:val="24"/>
        </w:rPr>
        <w:t>（以下简称“乙方”）</w:t>
      </w:r>
    </w:p>
    <w:p w14:paraId="65DB0977">
      <w:pPr>
        <w:spacing w:line="440" w:lineRule="exact"/>
        <w:ind w:firstLine="480" w:firstLineChars="200"/>
        <w:rPr>
          <w:rFonts w:hint="eastAsia" w:ascii="仿宋" w:hAnsi="仿宋" w:eastAsia="仿宋" w:cs="仿宋"/>
          <w:sz w:val="24"/>
        </w:rPr>
      </w:pPr>
      <w:r>
        <w:rPr>
          <w:rFonts w:hint="eastAsia" w:ascii="仿宋" w:hAnsi="仿宋" w:eastAsia="仿宋" w:cs="仿宋"/>
          <w:sz w:val="24"/>
        </w:rPr>
        <w:t>签订地点:</w:t>
      </w:r>
      <w:r>
        <w:rPr>
          <w:rFonts w:hint="eastAsia" w:ascii="仿宋" w:hAnsi="仿宋" w:eastAsia="仿宋" w:cs="仿宋"/>
          <w:sz w:val="24"/>
          <w:u w:val="single"/>
        </w:rPr>
        <w:t xml:space="preserve">启东市 </w:t>
      </w:r>
      <w:r>
        <w:rPr>
          <w:rFonts w:hint="eastAsia" w:ascii="仿宋" w:hAnsi="仿宋" w:eastAsia="仿宋" w:cs="仿宋"/>
          <w:sz w:val="24"/>
        </w:rPr>
        <w:t>签订时间: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F070109">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rPr>
        <w:t>根据《中华人民共和国政府采购法》、《中华人民共和国民法典》等有关政府采购法规，双方按照</w:t>
      </w:r>
      <w:r>
        <w:rPr>
          <w:rFonts w:hint="eastAsia" w:ascii="仿宋" w:hAnsi="仿宋" w:eastAsia="仿宋" w:cs="仿宋"/>
          <w:sz w:val="24"/>
          <w:u w:val="single"/>
        </w:rPr>
        <w:t>启东市工人电影院影厅设备采购及</w:t>
      </w:r>
      <w:r>
        <w:rPr>
          <w:rFonts w:hint="eastAsia" w:ascii="仿宋" w:hAnsi="仿宋" w:eastAsia="仿宋" w:cs="仿宋"/>
          <w:sz w:val="24"/>
          <w:highlight w:val="none"/>
          <w:u w:val="single"/>
        </w:rPr>
        <w:t>安装项目</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项目编号：   </w:t>
      </w:r>
      <w:r>
        <w:rPr>
          <w:rFonts w:hint="eastAsia" w:ascii="仿宋" w:hAnsi="仿宋" w:eastAsia="仿宋" w:cs="仿宋"/>
          <w:sz w:val="24"/>
          <w:highlight w:val="none"/>
        </w:rPr>
        <w:t>）采购结果，签订本合同。</w:t>
      </w:r>
    </w:p>
    <w:p w14:paraId="6ABF71D6">
      <w:pPr>
        <w:numPr>
          <w:ilvl w:val="0"/>
          <w:numId w:val="15"/>
        </w:numPr>
        <w:spacing w:line="440" w:lineRule="exact"/>
        <w:ind w:firstLine="480" w:firstLineChars="200"/>
        <w:rPr>
          <w:rFonts w:hint="eastAsia" w:ascii="仿宋" w:hAnsi="仿宋" w:eastAsia="仿宋" w:cs="仿宋"/>
          <w:sz w:val="24"/>
          <w:highlight w:val="none"/>
        </w:rPr>
      </w:pPr>
      <w:r>
        <w:rPr>
          <w:rFonts w:hint="eastAsia" w:ascii="仿宋" w:hAnsi="仿宋" w:eastAsia="仿宋" w:cs="仿宋"/>
          <w:b/>
          <w:bCs/>
          <w:sz w:val="24"/>
          <w:highlight w:val="none"/>
        </w:rPr>
        <w:t>货物供应明细如下：</w:t>
      </w:r>
      <w:r>
        <w:rPr>
          <w:rFonts w:hint="eastAsia" w:ascii="仿宋" w:hAnsi="仿宋" w:eastAsia="仿宋" w:cs="仿宋"/>
          <w:sz w:val="24"/>
          <w:highlight w:val="none"/>
        </w:rPr>
        <w:t>详见报价文件。</w:t>
      </w:r>
    </w:p>
    <w:p w14:paraId="4D7F0817">
      <w:pPr>
        <w:pStyle w:val="2"/>
        <w:spacing w:after="0" w:line="440" w:lineRule="exact"/>
        <w:ind w:firstLine="480" w:firstLineChars="200"/>
        <w:rPr>
          <w:rFonts w:hint="eastAsia" w:ascii="仿宋" w:hAnsi="仿宋" w:eastAsia="仿宋" w:cs="仿宋"/>
          <w:szCs w:val="24"/>
          <w:highlight w:val="none"/>
        </w:rPr>
      </w:pPr>
      <w:r>
        <w:rPr>
          <w:rFonts w:hint="eastAsia" w:ascii="仿宋" w:hAnsi="仿宋" w:eastAsia="仿宋" w:cs="仿宋"/>
          <w:b/>
          <w:bCs/>
          <w:sz w:val="24"/>
          <w:highlight w:val="none"/>
        </w:rPr>
        <w:t>二、合同金额：</w:t>
      </w:r>
      <w:r>
        <w:rPr>
          <w:rFonts w:ascii="仿宋" w:hAnsi="仿宋" w:eastAsia="仿宋" w:cs="仿宋"/>
          <w:highlight w:val="none"/>
        </w:rPr>
        <w:t>人民币（大写）：</w:t>
      </w:r>
      <w:r>
        <w:rPr>
          <w:rFonts w:ascii="仿宋" w:hAnsi="仿宋" w:eastAsia="仿宋" w:cs="仿宋"/>
          <w:highlight w:val="none"/>
          <w:u w:val="single"/>
        </w:rPr>
        <w:t xml:space="preserve"> </w:t>
      </w:r>
      <w:r>
        <w:rPr>
          <w:rFonts w:hint="eastAsia" w:ascii="仿宋" w:hAnsi="仿宋" w:eastAsia="仿宋" w:cs="仿宋"/>
          <w:highlight w:val="none"/>
          <w:u w:val="single"/>
        </w:rPr>
        <w:t xml:space="preserve">        </w:t>
      </w:r>
      <w:r>
        <w:rPr>
          <w:rFonts w:ascii="仿宋" w:hAnsi="仿宋" w:eastAsia="仿宋" w:cs="仿宋"/>
          <w:highlight w:val="none"/>
          <w:u w:val="single"/>
        </w:rPr>
        <w:t xml:space="preserve"> </w:t>
      </w:r>
      <w:r>
        <w:rPr>
          <w:rFonts w:ascii="仿宋" w:hAnsi="仿宋" w:eastAsia="仿宋" w:cs="仿宋"/>
          <w:highlight w:val="none"/>
        </w:rPr>
        <w:t>；（小写）：</w:t>
      </w:r>
      <w:r>
        <w:rPr>
          <w:rFonts w:ascii="仿宋" w:hAnsi="仿宋" w:eastAsia="仿宋" w:cs="仿宋"/>
          <w:highlight w:val="none"/>
          <w:u w:val="single"/>
        </w:rPr>
        <w:t xml:space="preserve"> </w:t>
      </w:r>
      <w:r>
        <w:rPr>
          <w:rFonts w:hint="eastAsia" w:ascii="仿宋" w:hAnsi="仿宋" w:eastAsia="仿宋" w:cs="仿宋"/>
          <w:highlight w:val="none"/>
          <w:u w:val="single"/>
        </w:rPr>
        <w:t xml:space="preserve">        </w:t>
      </w:r>
      <w:r>
        <w:rPr>
          <w:rFonts w:ascii="仿宋" w:hAnsi="仿宋" w:eastAsia="仿宋" w:cs="仿宋"/>
          <w:highlight w:val="none"/>
          <w:u w:val="single"/>
        </w:rPr>
        <w:t xml:space="preserve"> </w:t>
      </w:r>
      <w:r>
        <w:rPr>
          <w:rFonts w:ascii="仿宋" w:hAnsi="仿宋" w:eastAsia="仿宋" w:cs="仿宋"/>
          <w:szCs w:val="24"/>
          <w:highlight w:val="none"/>
        </w:rPr>
        <w:t>元。</w:t>
      </w:r>
    </w:p>
    <w:p w14:paraId="1D664308">
      <w:pPr>
        <w:pStyle w:val="13"/>
        <w:spacing w:before="0" w:beforeAutospacing="0" w:after="0" w:afterAutospacing="0" w:line="440" w:lineRule="exact"/>
        <w:ind w:firstLine="480" w:firstLineChars="200"/>
        <w:rPr>
          <w:rFonts w:ascii="仿宋" w:hAnsi="仿宋" w:eastAsia="仿宋" w:cs="仿宋"/>
          <w:kern w:val="2"/>
          <w:szCs w:val="24"/>
          <w:highlight w:val="none"/>
        </w:rPr>
      </w:pPr>
      <w:r>
        <w:rPr>
          <w:rFonts w:ascii="仿宋" w:hAnsi="仿宋" w:eastAsia="仿宋" w:cs="仿宋"/>
          <w:kern w:val="2"/>
          <w:szCs w:val="24"/>
          <w:highlight w:val="none"/>
        </w:rPr>
        <w:t>本项目为固定总价合同，合同价</w:t>
      </w:r>
      <w:r>
        <w:rPr>
          <w:rFonts w:hint="default" w:ascii="仿宋" w:hAnsi="仿宋" w:eastAsia="仿宋" w:cs="仿宋"/>
          <w:kern w:val="2"/>
          <w:szCs w:val="24"/>
          <w:highlight w:val="none"/>
        </w:rPr>
        <w:t>包括但不限于全部货物及辅材的提供、产品制造、质保期内易损件、备品备件、材料、辅材、培训及产品运输、装卸、搬运、保管、检验、包装、运输保险费、安装技术指导、调试、运行、技术服务支持、保修期内维保服务、利润、税金、咨询费等一切费用，以及</w:t>
      </w:r>
      <w:r>
        <w:rPr>
          <w:rFonts w:ascii="仿宋" w:hAnsi="仿宋" w:eastAsia="仿宋" w:cs="仿宋"/>
          <w:kern w:val="2"/>
          <w:szCs w:val="24"/>
          <w:highlight w:val="none"/>
        </w:rPr>
        <w:t>乙方</w:t>
      </w:r>
      <w:r>
        <w:rPr>
          <w:rFonts w:hint="default" w:ascii="仿宋" w:hAnsi="仿宋" w:eastAsia="仿宋" w:cs="仿宋"/>
          <w:kern w:val="2"/>
          <w:szCs w:val="24"/>
          <w:highlight w:val="none"/>
        </w:rPr>
        <w:t>认为需要的其他费用等，项目实施过程中不另结其它所有费用。</w:t>
      </w:r>
    </w:p>
    <w:p w14:paraId="77265A3A">
      <w:pPr>
        <w:spacing w:line="440" w:lineRule="exact"/>
        <w:ind w:firstLine="480" w:firstLineChars="200"/>
        <w:rPr>
          <w:rFonts w:hint="eastAsia" w:ascii="仿宋" w:hAnsi="仿宋" w:eastAsia="仿宋" w:cs="仿宋"/>
          <w:b/>
          <w:bCs/>
          <w:sz w:val="24"/>
          <w:highlight w:val="none"/>
        </w:rPr>
      </w:pPr>
      <w:r>
        <w:rPr>
          <w:rFonts w:hint="eastAsia" w:ascii="仿宋" w:hAnsi="仿宋" w:eastAsia="仿宋" w:cs="仿宋"/>
          <w:b/>
          <w:bCs/>
          <w:sz w:val="24"/>
          <w:highlight w:val="none"/>
        </w:rPr>
        <w:t>三、项目实施时间和地点</w:t>
      </w:r>
    </w:p>
    <w:p w14:paraId="1560587C">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1.供货与安装周期：合同签订之日起45日历天内完成交货、安装、调试。</w:t>
      </w:r>
    </w:p>
    <w:p w14:paraId="2C2F58CD">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2.交货、安装地点：乙方须根据甲方指定地点、时间安装到位，确保正常使用。</w:t>
      </w:r>
    </w:p>
    <w:p w14:paraId="2F6E7C74">
      <w:pPr>
        <w:spacing w:line="440" w:lineRule="exact"/>
        <w:ind w:firstLine="480" w:firstLineChars="200"/>
        <w:rPr>
          <w:rFonts w:hint="eastAsia" w:ascii="仿宋" w:hAnsi="仿宋" w:eastAsia="仿宋" w:cs="仿宋"/>
          <w:b/>
          <w:bCs/>
          <w:sz w:val="24"/>
          <w:highlight w:val="none"/>
        </w:rPr>
      </w:pPr>
      <w:r>
        <w:rPr>
          <w:rFonts w:hint="eastAsia" w:ascii="仿宋" w:hAnsi="仿宋" w:eastAsia="仿宋" w:cs="仿宋"/>
          <w:b/>
          <w:bCs/>
          <w:sz w:val="24"/>
          <w:highlight w:val="none"/>
        </w:rPr>
        <w:t>四、质量要求及乙方对质量负责的条件和期限</w:t>
      </w:r>
    </w:p>
    <w:p w14:paraId="3CA928A9">
      <w:pPr>
        <w:pStyle w:val="2"/>
        <w:spacing w:after="0" w:line="440" w:lineRule="exact"/>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1、产品必须是全新、未使用过的原装合格正品(包括零部件)，完全符合采购文件规定的质量、规格和性能的要求，达到国家或行业规定的标准。</w:t>
      </w:r>
    </w:p>
    <w:p w14:paraId="4089AFEA">
      <w:pPr>
        <w:pStyle w:val="2"/>
        <w:spacing w:after="0" w:line="440" w:lineRule="exact"/>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2、</w:t>
      </w:r>
      <w:r>
        <w:rPr>
          <w:rFonts w:hint="eastAsia" w:ascii="仿宋" w:hAnsi="仿宋" w:eastAsia="仿宋" w:cs="仿宋"/>
          <w:sz w:val="24"/>
          <w:highlight w:val="none"/>
        </w:rPr>
        <w:t>质保期限：项目整体质保期三年（所有货物质保时间为自验收合格之日起计；货物原厂质保期高于供应商承诺质保期的，按原厂质保期计算）</w:t>
      </w:r>
      <w:r>
        <w:rPr>
          <w:rFonts w:hint="eastAsia" w:ascii="仿宋" w:hAnsi="仿宋" w:eastAsia="仿宋" w:cs="仿宋"/>
          <w:sz w:val="24"/>
          <w:highlight w:val="none"/>
          <w:lang w:val="zh-CN"/>
        </w:rPr>
        <w:t>。</w:t>
      </w:r>
    </w:p>
    <w:p w14:paraId="7D2E79A6">
      <w:pPr>
        <w:pStyle w:val="2"/>
        <w:spacing w:after="0" w:line="440" w:lineRule="exact"/>
        <w:ind w:firstLine="480" w:firstLineChars="200"/>
        <w:rPr>
          <w:highlight w:val="none"/>
          <w:lang w:val="zh-CN"/>
        </w:rPr>
      </w:pPr>
      <w:r>
        <w:rPr>
          <w:rFonts w:hint="eastAsia" w:ascii="仿宋" w:hAnsi="仿宋" w:eastAsia="仿宋" w:cs="仿宋"/>
          <w:sz w:val="24"/>
          <w:highlight w:val="none"/>
        </w:rPr>
        <w:t>3、</w:t>
      </w:r>
      <w:r>
        <w:rPr>
          <w:rFonts w:hint="eastAsia" w:ascii="仿宋" w:hAnsi="仿宋" w:eastAsia="仿宋" w:cs="仿宋"/>
          <w:sz w:val="24"/>
          <w:highlight w:val="none"/>
          <w:lang w:val="zh-CN"/>
        </w:rPr>
        <w:t>售后服务要求：在质保期内，同一商品、同一质量问题连续两次维修仍无法正常使用，</w:t>
      </w:r>
      <w:r>
        <w:rPr>
          <w:rFonts w:hint="eastAsia" w:ascii="仿宋" w:hAnsi="仿宋" w:eastAsia="仿宋" w:cs="仿宋"/>
          <w:sz w:val="24"/>
          <w:highlight w:val="none"/>
        </w:rPr>
        <w:t>乙方</w:t>
      </w:r>
      <w:r>
        <w:rPr>
          <w:rFonts w:hint="eastAsia" w:ascii="仿宋" w:hAnsi="仿宋" w:eastAsia="仿宋" w:cs="仿宋"/>
          <w:sz w:val="24"/>
          <w:highlight w:val="none"/>
          <w:lang w:val="zh-CN"/>
        </w:rPr>
        <w:t>无条件给予全套更新或退货。在免费质保期内，</w:t>
      </w:r>
      <w:r>
        <w:rPr>
          <w:rFonts w:hint="eastAsia" w:ascii="仿宋" w:hAnsi="仿宋" w:eastAsia="仿宋" w:cs="仿宋"/>
          <w:sz w:val="24"/>
          <w:highlight w:val="none"/>
        </w:rPr>
        <w:t>乙方</w:t>
      </w:r>
      <w:r>
        <w:rPr>
          <w:rFonts w:hint="eastAsia" w:ascii="仿宋" w:hAnsi="仿宋" w:eastAsia="仿宋" w:cs="仿宋"/>
          <w:sz w:val="24"/>
          <w:highlight w:val="none"/>
          <w:lang w:val="zh-CN"/>
        </w:rPr>
        <w:t>在接到用户单位电话通知后，必须在1小时之内上门服务，并在4小时内负责修复。如需更换货物或送修，必须在12小时内提供备用货物，并在7个工作日内负责对送修货物维修完毕并送至用户单位处</w:t>
      </w:r>
      <w:r>
        <w:rPr>
          <w:rFonts w:hint="eastAsia" w:ascii="仿宋" w:hAnsi="仿宋" w:eastAsia="仿宋" w:cs="仿宋"/>
          <w:sz w:val="24"/>
          <w:highlight w:val="none"/>
        </w:rPr>
        <w:t>。</w:t>
      </w:r>
    </w:p>
    <w:p w14:paraId="7AFDC6BE">
      <w:pPr>
        <w:spacing w:line="440" w:lineRule="exact"/>
        <w:ind w:firstLine="480" w:firstLineChars="200"/>
        <w:rPr>
          <w:rFonts w:hint="eastAsia" w:ascii="仿宋" w:hAnsi="仿宋" w:eastAsia="仿宋" w:cs="仿宋"/>
          <w:b/>
          <w:bCs/>
          <w:sz w:val="24"/>
          <w:highlight w:val="none"/>
        </w:rPr>
      </w:pPr>
      <w:r>
        <w:rPr>
          <w:rFonts w:hint="eastAsia" w:ascii="仿宋" w:hAnsi="仿宋" w:eastAsia="仿宋" w:cs="仿宋"/>
          <w:b/>
          <w:bCs/>
          <w:sz w:val="24"/>
          <w:highlight w:val="none"/>
        </w:rPr>
        <w:t>五、项目验收要求</w:t>
      </w:r>
    </w:p>
    <w:p w14:paraId="74BE6786">
      <w:pPr>
        <w:spacing w:line="440" w:lineRule="exact"/>
        <w:ind w:firstLine="480" w:firstLineChars="200"/>
        <w:rPr>
          <w:rFonts w:hint="eastAsia" w:ascii="仿宋" w:hAnsi="仿宋" w:eastAsia="仿宋" w:cs="仿宋"/>
          <w:sz w:val="24"/>
          <w:highlight w:val="none"/>
          <w:lang w:val="zh-CN"/>
        </w:rPr>
      </w:pPr>
      <w:r>
        <w:rPr>
          <w:rFonts w:hint="eastAsia" w:ascii="仿宋" w:hAnsi="仿宋" w:eastAsia="仿宋" w:cs="仿宋"/>
          <w:sz w:val="24"/>
          <w:highlight w:val="none"/>
          <w:lang w:val="zh-CN"/>
        </w:rPr>
        <w:t>经启东市市场监督管理局（或采购人委托的第三方检测机构）组织抽样检验并取得合格的检测报告或有效的证明文件后方可安装，安装、调试完毕后，由成交供应商向采购单位提出书面验收申请，采购单位在收到成交供应商提交的书面项目验收申请后7个工作日内，将组织验收小组根据招标公告和供应商投标文件对供应商所供货物及相关产品合格证等进行验收。如验收时发现所供货物的数量、品牌、技术参数等与招投标文件不一致，或无有效产品合格证、存在安全隐患等，根据启东市市场监督管理局（或采购人委托的第三方检测机构）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相关检测费用由供应商承担。</w:t>
      </w:r>
    </w:p>
    <w:p w14:paraId="47966D4D">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b/>
          <w:bCs/>
          <w:sz w:val="24"/>
          <w:highlight w:val="none"/>
        </w:rPr>
        <w:t>六、结算方式和期限</w:t>
      </w:r>
    </w:p>
    <w:p w14:paraId="70EBF2EB">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所有设备完成供货与安装，凭启东市市场监督管理局出具的检测报告（如有）和甲方出具的验收合格单等相关证明材料，由乙方提供该单位税务正式发票，启东市总工会在收到发票后10个工作日内付合同价的80%，余款从验收合格之日算起一年再支付17%，尾款3%质保期满后一次性付清。</w:t>
      </w:r>
    </w:p>
    <w:p w14:paraId="26D31A4F">
      <w:pPr>
        <w:spacing w:line="440" w:lineRule="exact"/>
        <w:ind w:firstLine="540"/>
        <w:rPr>
          <w:rFonts w:hint="eastAsia" w:ascii="仿宋" w:hAnsi="仿宋" w:eastAsia="仿宋" w:cs="仿宋"/>
          <w:sz w:val="24"/>
          <w:highlight w:val="none"/>
        </w:rPr>
      </w:pPr>
      <w:r>
        <w:rPr>
          <w:rFonts w:hint="eastAsia" w:ascii="仿宋" w:hAnsi="仿宋" w:eastAsia="仿宋" w:cs="仿宋"/>
          <w:b/>
          <w:bCs/>
          <w:sz w:val="24"/>
          <w:highlight w:val="none"/>
        </w:rPr>
        <w:t>七、其它事项</w:t>
      </w:r>
    </w:p>
    <w:p w14:paraId="00F4A7D3">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1、乙方应充分考虑项目实施过程中的各项安全风险，并采取必要的措施予以保障；若项目实施过程中发生任何安全事故或人身伤害，则均由乙方自行承担。</w:t>
      </w:r>
    </w:p>
    <w:p w14:paraId="44D70C6A">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2、乙方须在设备正式运行前安排专人前往甲方指定地点做好设备使用维护等相关培训工作。</w:t>
      </w:r>
    </w:p>
    <w:p w14:paraId="09041248">
      <w:pPr>
        <w:spacing w:line="440" w:lineRule="exact"/>
        <w:ind w:firstLine="540"/>
        <w:rPr>
          <w:rFonts w:hint="eastAsia" w:ascii="仿宋" w:hAnsi="仿宋" w:eastAsia="仿宋" w:cs="仿宋"/>
          <w:sz w:val="24"/>
        </w:rPr>
      </w:pPr>
      <w:r>
        <w:rPr>
          <w:rFonts w:hint="eastAsia" w:ascii="仿宋" w:hAnsi="仿宋" w:eastAsia="仿宋" w:cs="仿宋"/>
          <w:sz w:val="24"/>
        </w:rPr>
        <w:t>3、乙方须负责旧设备拆除、新设备安装，拆除的旧设备归甲方所有；根据本项目实际情况，若后续施工需要对本次采购范围内已安装的设备进行再次拆、装的，则发生的二次拆、装费用由乙方承担，项目结算时不再另行支付费用。乙方已在投标时充分考虑此项风险费用，并已列入报价。</w:t>
      </w:r>
    </w:p>
    <w:p w14:paraId="37532B96">
      <w:pPr>
        <w:spacing w:line="440" w:lineRule="exact"/>
        <w:ind w:firstLine="540"/>
        <w:rPr>
          <w:rFonts w:hint="eastAsia" w:ascii="仿宋" w:hAnsi="仿宋" w:eastAsia="仿宋" w:cs="仿宋"/>
          <w:b/>
          <w:bCs/>
          <w:sz w:val="24"/>
        </w:rPr>
      </w:pPr>
      <w:r>
        <w:rPr>
          <w:rFonts w:hint="eastAsia" w:ascii="仿宋" w:hAnsi="仿宋" w:eastAsia="仿宋" w:cs="仿宋"/>
          <w:b/>
          <w:bCs/>
          <w:sz w:val="24"/>
        </w:rPr>
        <w:t>八、税金</w:t>
      </w:r>
    </w:p>
    <w:p w14:paraId="0CBBE253">
      <w:pPr>
        <w:spacing w:line="440" w:lineRule="exact"/>
        <w:ind w:firstLine="540"/>
        <w:jc w:val="left"/>
        <w:rPr>
          <w:rFonts w:hint="eastAsia" w:ascii="仿宋" w:hAnsi="仿宋" w:eastAsia="仿宋" w:cs="仿宋"/>
          <w:spacing w:val="-6"/>
          <w:kern w:val="0"/>
          <w:sz w:val="24"/>
        </w:rPr>
      </w:pPr>
      <w:r>
        <w:rPr>
          <w:rFonts w:hint="eastAsia" w:ascii="仿宋" w:hAnsi="仿宋" w:eastAsia="仿宋" w:cs="仿宋"/>
          <w:spacing w:val="-6"/>
          <w:kern w:val="0"/>
          <w:sz w:val="24"/>
        </w:rPr>
        <w:t>1.根据国家现行税法对乙方征收的与本合同有关的一切税费均由乙方负担。</w:t>
      </w:r>
    </w:p>
    <w:p w14:paraId="1EE652E9">
      <w:pPr>
        <w:spacing w:line="440" w:lineRule="exact"/>
        <w:ind w:firstLine="540"/>
        <w:jc w:val="left"/>
        <w:rPr>
          <w:rFonts w:hint="eastAsia" w:ascii="仿宋" w:hAnsi="仿宋" w:eastAsia="仿宋" w:cs="仿宋"/>
          <w:kern w:val="0"/>
          <w:sz w:val="24"/>
        </w:rPr>
      </w:pPr>
      <w:r>
        <w:rPr>
          <w:rFonts w:hint="eastAsia" w:ascii="仿宋" w:hAnsi="仿宋" w:eastAsia="仿宋" w:cs="仿宋"/>
          <w:kern w:val="0"/>
          <w:sz w:val="24"/>
        </w:rPr>
        <w:t>2.在中国境外发生的与本合同执行有关的一切税费均由乙方负担。</w:t>
      </w:r>
    </w:p>
    <w:p w14:paraId="0507766F">
      <w:pPr>
        <w:spacing w:line="440" w:lineRule="exact"/>
        <w:ind w:firstLine="480" w:firstLineChars="200"/>
        <w:rPr>
          <w:rFonts w:hint="eastAsia" w:ascii="仿宋" w:hAnsi="仿宋" w:eastAsia="仿宋" w:cs="仿宋"/>
          <w:b/>
          <w:bCs/>
          <w:sz w:val="24"/>
        </w:rPr>
      </w:pPr>
      <w:r>
        <w:rPr>
          <w:rFonts w:hint="eastAsia" w:ascii="仿宋" w:hAnsi="仿宋" w:eastAsia="仿宋" w:cs="仿宋"/>
          <w:b/>
          <w:bCs/>
          <w:sz w:val="24"/>
        </w:rPr>
        <w:t>九、履约保证金</w:t>
      </w:r>
    </w:p>
    <w:p w14:paraId="0A57463C">
      <w:pPr>
        <w:spacing w:line="440" w:lineRule="exact"/>
        <w:ind w:firstLine="480" w:firstLineChars="200"/>
        <w:rPr>
          <w:rFonts w:hint="eastAsia" w:ascii="仿宋" w:hAnsi="仿宋" w:eastAsia="仿宋" w:cs="仿宋"/>
          <w:sz w:val="24"/>
        </w:rPr>
      </w:pPr>
      <w:r>
        <w:rPr>
          <w:rFonts w:hint="eastAsia" w:ascii="仿宋" w:hAnsi="仿宋" w:eastAsia="仿宋" w:cs="仿宋"/>
          <w:sz w:val="24"/>
        </w:rPr>
        <w:t>1．本项目成交后的履约保证金为项目成交价的10%，乙方的履约保证金须在成交通知书发出之日起至合同签订前汇入甲方单位账户（应当以数字人民币、支票、汇票或者金融机构、担保机构出具的保函等非现金形式提交），乙方凭成交通知书与甲方签订合同。超期或未有协商，则视为自动放弃成交资格。</w:t>
      </w:r>
    </w:p>
    <w:p w14:paraId="512E3154">
      <w:pPr>
        <w:spacing w:line="440" w:lineRule="exact"/>
        <w:ind w:firstLine="480" w:firstLineChars="200"/>
        <w:rPr>
          <w:rFonts w:hint="eastAsia" w:ascii="仿宋" w:hAnsi="仿宋" w:eastAsia="仿宋" w:cs="仿宋"/>
          <w:sz w:val="24"/>
        </w:rPr>
      </w:pPr>
      <w:r>
        <w:rPr>
          <w:rFonts w:hint="eastAsia" w:ascii="仿宋" w:hAnsi="仿宋" w:eastAsia="仿宋" w:cs="仿宋"/>
          <w:sz w:val="24"/>
        </w:rPr>
        <w:t>2．乙方全部履约合同义务，经甲方验收合格无质量、进度等问题的，甲方在验收合格后一次性退还履约保证金，甲方若逾期退还履约保证金的，按照逾期部分的每日0.05%支付违约金。</w:t>
      </w:r>
    </w:p>
    <w:p w14:paraId="742752EE">
      <w:pPr>
        <w:spacing w:line="440" w:lineRule="exact"/>
        <w:ind w:firstLine="480" w:firstLineChars="200"/>
        <w:rPr>
          <w:rFonts w:hint="eastAsia" w:ascii="仿宋" w:hAnsi="仿宋" w:eastAsia="仿宋" w:cs="仿宋"/>
          <w:sz w:val="24"/>
        </w:rPr>
      </w:pPr>
      <w:r>
        <w:rPr>
          <w:rFonts w:hint="eastAsia" w:ascii="仿宋" w:hAnsi="仿宋" w:eastAsia="仿宋" w:cs="仿宋"/>
          <w:sz w:val="24"/>
        </w:rPr>
        <w:t>3．发生以下情况的，履约保证金不予退还或部分退还：</w:t>
      </w:r>
    </w:p>
    <w:p w14:paraId="23A5787D">
      <w:pPr>
        <w:spacing w:line="440" w:lineRule="exact"/>
        <w:ind w:firstLine="480" w:firstLineChars="200"/>
        <w:rPr>
          <w:rFonts w:hint="eastAsia" w:ascii="仿宋" w:hAnsi="仿宋" w:eastAsia="仿宋" w:cs="仿宋"/>
          <w:sz w:val="24"/>
        </w:rPr>
      </w:pPr>
      <w:r>
        <w:rPr>
          <w:rFonts w:hint="eastAsia" w:ascii="仿宋" w:hAnsi="仿宋" w:eastAsia="仿宋" w:cs="仿宋"/>
          <w:sz w:val="24"/>
        </w:rPr>
        <w:t>a.签订合同后，乙方不履行合同义务的，甲方有权全额扣除履约保证金，全额不予退还，同时甲方亦有权终止合同，乙方还须承担相应的法律赔偿责任。</w:t>
      </w:r>
    </w:p>
    <w:p w14:paraId="1E0C08FC">
      <w:pPr>
        <w:spacing w:line="440" w:lineRule="exact"/>
        <w:ind w:firstLine="480" w:firstLineChars="200"/>
        <w:rPr>
          <w:rFonts w:hint="eastAsia" w:ascii="仿宋" w:hAnsi="仿宋" w:eastAsia="仿宋" w:cs="仿宋"/>
          <w:sz w:val="24"/>
        </w:rPr>
      </w:pPr>
      <w:r>
        <w:rPr>
          <w:rFonts w:hint="eastAsia" w:ascii="仿宋" w:hAnsi="仿宋" w:eastAsia="仿宋" w:cs="仿宋"/>
          <w:sz w:val="24"/>
        </w:rPr>
        <w:t>b.乙方在履约过程中发生违约行为，给甲方造成损失的，甲方有权在乙方缴纳的履约保证金中予以扣款，以弥补采甲方经济损失，不足的部分乙方另外补齐。</w:t>
      </w:r>
    </w:p>
    <w:p w14:paraId="4EC18084">
      <w:pPr>
        <w:spacing w:line="440" w:lineRule="exact"/>
        <w:ind w:firstLine="540"/>
        <w:rPr>
          <w:rFonts w:hint="eastAsia" w:ascii="仿宋" w:hAnsi="仿宋" w:eastAsia="仿宋" w:cs="仿宋"/>
          <w:b/>
          <w:bCs/>
          <w:sz w:val="24"/>
        </w:rPr>
      </w:pPr>
      <w:r>
        <w:rPr>
          <w:rFonts w:hint="eastAsia" w:ascii="仿宋" w:hAnsi="仿宋" w:eastAsia="仿宋" w:cs="仿宋"/>
          <w:b/>
          <w:bCs/>
          <w:sz w:val="24"/>
        </w:rPr>
        <w:t>十、违约责任</w:t>
      </w:r>
    </w:p>
    <w:p w14:paraId="706C210A">
      <w:pPr>
        <w:spacing w:line="440" w:lineRule="exact"/>
        <w:ind w:firstLine="480" w:firstLineChars="200"/>
        <w:rPr>
          <w:rFonts w:hint="eastAsia" w:ascii="仿宋" w:hAnsi="仿宋" w:eastAsia="仿宋" w:cs="仿宋"/>
          <w:sz w:val="24"/>
        </w:rPr>
      </w:pPr>
      <w:r>
        <w:rPr>
          <w:rFonts w:hint="eastAsia" w:ascii="仿宋" w:hAnsi="仿宋" w:eastAsia="仿宋" w:cs="仿宋"/>
          <w:sz w:val="24"/>
        </w:rPr>
        <w:t>任何一方违约，均需按照下列约定向对方支付违约金。</w:t>
      </w:r>
    </w:p>
    <w:p w14:paraId="7F3C7BB5">
      <w:pPr>
        <w:spacing w:line="440" w:lineRule="exact"/>
        <w:ind w:firstLine="480" w:firstLineChars="200"/>
        <w:rPr>
          <w:rFonts w:hint="eastAsia" w:ascii="仿宋" w:hAnsi="仿宋" w:eastAsia="仿宋" w:cs="仿宋"/>
          <w:sz w:val="24"/>
        </w:rPr>
      </w:pPr>
      <w:r>
        <w:rPr>
          <w:rFonts w:hint="eastAsia" w:ascii="仿宋" w:hAnsi="仿宋" w:eastAsia="仿宋" w:cs="仿宋"/>
          <w:sz w:val="24"/>
        </w:rPr>
        <w:t>1. 乙方不能交货及甲方中途无理由退货的违约金，按照违约部分货款总值的 20%一次性支付。</w:t>
      </w:r>
    </w:p>
    <w:p w14:paraId="4E62D15A">
      <w:pPr>
        <w:spacing w:line="440" w:lineRule="exact"/>
        <w:ind w:firstLine="480" w:firstLineChars="200"/>
        <w:rPr>
          <w:rFonts w:hint="eastAsia" w:ascii="仿宋" w:hAnsi="仿宋" w:eastAsia="仿宋" w:cs="仿宋"/>
          <w:sz w:val="24"/>
        </w:rPr>
      </w:pPr>
      <w:r>
        <w:rPr>
          <w:rFonts w:hint="eastAsia" w:ascii="仿宋" w:hAnsi="仿宋" w:eastAsia="仿宋" w:cs="仿宋"/>
          <w:sz w:val="24"/>
        </w:rPr>
        <w:t>2.乙方逾期交货及甲方逾期付款的违约金，按照逾期部分的货款总值的每日0.05% 支付。</w:t>
      </w:r>
    </w:p>
    <w:p w14:paraId="40065A9D">
      <w:pPr>
        <w:spacing w:line="440" w:lineRule="exact"/>
        <w:ind w:firstLine="480" w:firstLineChars="200"/>
        <w:rPr>
          <w:rFonts w:hint="eastAsia" w:ascii="仿宋" w:hAnsi="仿宋" w:eastAsia="仿宋" w:cs="仿宋"/>
          <w:sz w:val="24"/>
        </w:rPr>
      </w:pPr>
      <w:r>
        <w:rPr>
          <w:rFonts w:hint="eastAsia" w:ascii="仿宋" w:hAnsi="仿宋" w:eastAsia="仿宋" w:cs="仿宋"/>
          <w:sz w:val="24"/>
        </w:rPr>
        <w:t>3.乙方交付货物时质量明显不符合规定的，甲方有权拒收并有权要求乙方限期更换、退货或减少价款等。</w:t>
      </w:r>
    </w:p>
    <w:p w14:paraId="4ECF089C">
      <w:pPr>
        <w:spacing w:line="440" w:lineRule="exact"/>
        <w:ind w:firstLine="480" w:firstLineChars="200"/>
        <w:jc w:val="left"/>
        <w:rPr>
          <w:rFonts w:hint="eastAsia" w:ascii="仿宋" w:hAnsi="仿宋" w:eastAsia="仿宋" w:cs="仿宋"/>
          <w:b/>
          <w:bCs/>
          <w:sz w:val="24"/>
        </w:rPr>
      </w:pPr>
      <w:r>
        <w:rPr>
          <w:rFonts w:hint="eastAsia" w:ascii="仿宋" w:hAnsi="仿宋" w:eastAsia="仿宋" w:cs="仿宋"/>
          <w:b/>
          <w:bCs/>
          <w:sz w:val="24"/>
        </w:rPr>
        <w:t>十一、解决合同争议的方式</w:t>
      </w:r>
    </w:p>
    <w:p w14:paraId="778A1EC3">
      <w:pPr>
        <w:spacing w:line="440" w:lineRule="exact"/>
        <w:ind w:firstLine="480" w:firstLineChars="200"/>
        <w:jc w:val="left"/>
        <w:rPr>
          <w:rFonts w:hint="eastAsia" w:ascii="仿宋" w:hAnsi="仿宋" w:eastAsia="仿宋" w:cs="仿宋"/>
          <w:sz w:val="24"/>
        </w:rPr>
      </w:pPr>
      <w:r>
        <w:rPr>
          <w:rFonts w:hint="eastAsia" w:ascii="仿宋" w:hAnsi="仿宋" w:eastAsia="仿宋" w:cs="仿宋"/>
          <w:sz w:val="24"/>
        </w:rPr>
        <w:t>本合同履行过程中如发生争议，供、需双方应协商解决，如协商不成，则任何一方均可向</w:t>
      </w:r>
      <w:r>
        <w:rPr>
          <w:rFonts w:hint="eastAsia" w:ascii="仿宋" w:hAnsi="仿宋" w:eastAsia="仿宋" w:cs="仿宋"/>
          <w:sz w:val="24"/>
          <w:u w:val="single"/>
        </w:rPr>
        <w:t xml:space="preserve">  启东市  </w:t>
      </w:r>
      <w:r>
        <w:rPr>
          <w:rFonts w:hint="eastAsia" w:ascii="仿宋" w:hAnsi="仿宋" w:eastAsia="仿宋" w:cs="仿宋"/>
          <w:sz w:val="24"/>
        </w:rPr>
        <w:t>人民法院提起诉讼。</w:t>
      </w:r>
    </w:p>
    <w:p w14:paraId="08CB13BB">
      <w:pPr>
        <w:spacing w:line="440" w:lineRule="exact"/>
        <w:ind w:firstLine="482"/>
        <w:rPr>
          <w:rFonts w:hint="eastAsia" w:ascii="仿宋" w:hAnsi="仿宋" w:eastAsia="仿宋" w:cs="仿宋"/>
          <w:b/>
          <w:sz w:val="24"/>
        </w:rPr>
      </w:pPr>
      <w:r>
        <w:rPr>
          <w:rFonts w:hint="eastAsia" w:ascii="仿宋" w:hAnsi="仿宋" w:eastAsia="仿宋" w:cs="仿宋"/>
          <w:b/>
          <w:bCs/>
          <w:sz w:val="24"/>
        </w:rPr>
        <w:t>十二、</w:t>
      </w:r>
      <w:r>
        <w:rPr>
          <w:rFonts w:hint="eastAsia" w:ascii="仿宋" w:hAnsi="仿宋" w:eastAsia="仿宋" w:cs="仿宋"/>
          <w:b/>
          <w:sz w:val="24"/>
        </w:rPr>
        <w:t>合同生效及其他</w:t>
      </w:r>
    </w:p>
    <w:p w14:paraId="71C0AE32">
      <w:pPr>
        <w:spacing w:line="440" w:lineRule="exact"/>
        <w:ind w:firstLine="482"/>
        <w:rPr>
          <w:rFonts w:hint="eastAsia" w:ascii="仿宋" w:hAnsi="仿宋" w:eastAsia="仿宋" w:cs="仿宋"/>
          <w:bCs/>
          <w:sz w:val="24"/>
        </w:rPr>
      </w:pPr>
      <w:r>
        <w:rPr>
          <w:rFonts w:hint="eastAsia" w:ascii="仿宋" w:hAnsi="仿宋" w:eastAsia="仿宋" w:cs="仿宋"/>
          <w:bCs/>
          <w:sz w:val="24"/>
        </w:rPr>
        <w:t>1、本合同由甲、乙双方签订并加盖公章（同时双方应加盖骑缝章），经甲、乙双方法定代表人或委托代理人签字或盖章后生效，合同一式</w:t>
      </w:r>
      <w:r>
        <w:rPr>
          <w:rFonts w:hint="eastAsia" w:ascii="仿宋" w:hAnsi="仿宋" w:eastAsia="仿宋" w:cs="仿宋"/>
          <w:bCs/>
          <w:sz w:val="24"/>
          <w:u w:val="single"/>
          <w:lang w:val="en-US" w:eastAsia="zh-CN"/>
        </w:rPr>
        <w:t>肆</w:t>
      </w:r>
      <w:r>
        <w:rPr>
          <w:rFonts w:hint="eastAsia" w:ascii="仿宋" w:hAnsi="仿宋" w:eastAsia="仿宋" w:cs="仿宋"/>
          <w:bCs/>
          <w:sz w:val="24"/>
        </w:rPr>
        <w:t>份，甲、乙双方各执</w:t>
      </w:r>
      <w:r>
        <w:rPr>
          <w:rFonts w:hint="eastAsia" w:ascii="仿宋" w:hAnsi="仿宋" w:eastAsia="仿宋" w:cs="仿宋"/>
          <w:bCs/>
          <w:sz w:val="24"/>
          <w:u w:val="single"/>
        </w:rPr>
        <w:t>贰</w:t>
      </w:r>
      <w:r>
        <w:rPr>
          <w:rFonts w:hint="eastAsia" w:ascii="仿宋" w:hAnsi="仿宋" w:eastAsia="仿宋" w:cs="仿宋"/>
          <w:bCs/>
          <w:sz w:val="24"/>
        </w:rPr>
        <w:t>份。</w:t>
      </w:r>
    </w:p>
    <w:p w14:paraId="07E79606">
      <w:pPr>
        <w:spacing w:line="440" w:lineRule="exact"/>
        <w:ind w:firstLine="482"/>
        <w:rPr>
          <w:rFonts w:hint="eastAsia" w:ascii="仿宋" w:hAnsi="仿宋" w:eastAsia="仿宋" w:cs="仿宋"/>
          <w:bCs/>
          <w:sz w:val="24"/>
        </w:rPr>
      </w:pPr>
      <w:r>
        <w:rPr>
          <w:rFonts w:hint="eastAsia" w:ascii="仿宋" w:hAnsi="仿宋" w:eastAsia="仿宋" w:cs="仿宋"/>
          <w:bCs/>
          <w:sz w:val="24"/>
        </w:rPr>
        <w:t>2、本合同应按照中华人民共和国的现行法律进行解释。</w:t>
      </w:r>
    </w:p>
    <w:p w14:paraId="5A732059"/>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73"/>
        <w:gridCol w:w="4488"/>
      </w:tblGrid>
      <w:tr w14:paraId="0A6AD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2" w:hRule="atLeast"/>
          <w:jc w:val="center"/>
        </w:trPr>
        <w:tc>
          <w:tcPr>
            <w:tcW w:w="4373" w:type="dxa"/>
          </w:tcPr>
          <w:p w14:paraId="0DACCAB4">
            <w:pPr>
              <w:spacing w:line="400" w:lineRule="exact"/>
              <w:rPr>
                <w:rFonts w:hint="eastAsia" w:ascii="仿宋" w:hAnsi="仿宋" w:eastAsia="仿宋" w:cs="仿宋"/>
                <w:sz w:val="24"/>
              </w:rPr>
            </w:pPr>
            <w:r>
              <w:rPr>
                <w:rFonts w:hint="eastAsia" w:ascii="仿宋" w:hAnsi="仿宋" w:eastAsia="仿宋" w:cs="仿宋"/>
                <w:sz w:val="24"/>
              </w:rPr>
              <w:t xml:space="preserve">甲方（公章）：                  </w:t>
            </w:r>
          </w:p>
          <w:p w14:paraId="38E92319">
            <w:pPr>
              <w:spacing w:line="400" w:lineRule="exact"/>
              <w:rPr>
                <w:rFonts w:hint="eastAsia" w:ascii="仿宋" w:hAnsi="仿宋" w:eastAsia="仿宋" w:cs="仿宋"/>
                <w:sz w:val="24"/>
              </w:rPr>
            </w:pPr>
            <w:r>
              <w:rPr>
                <w:rFonts w:hint="eastAsia" w:ascii="仿宋" w:hAnsi="仿宋" w:eastAsia="仿宋" w:cs="仿宋"/>
                <w:sz w:val="24"/>
              </w:rPr>
              <w:t xml:space="preserve">地址：                     </w:t>
            </w:r>
          </w:p>
          <w:p w14:paraId="62F44967">
            <w:pPr>
              <w:spacing w:line="400" w:lineRule="exact"/>
              <w:rPr>
                <w:rFonts w:hint="eastAsia" w:ascii="仿宋" w:hAnsi="仿宋" w:eastAsia="仿宋" w:cs="仿宋"/>
                <w:sz w:val="24"/>
              </w:rPr>
            </w:pPr>
            <w:r>
              <w:rPr>
                <w:rFonts w:hint="eastAsia" w:ascii="仿宋" w:hAnsi="仿宋" w:eastAsia="仿宋" w:cs="仿宋"/>
                <w:sz w:val="24"/>
              </w:rPr>
              <w:t xml:space="preserve">法定（授权）代表人：                       </w:t>
            </w:r>
          </w:p>
          <w:p w14:paraId="50B0CDA8">
            <w:pPr>
              <w:spacing w:line="400" w:lineRule="exact"/>
              <w:rPr>
                <w:rFonts w:hint="eastAsia" w:ascii="仿宋" w:hAnsi="仿宋" w:eastAsia="仿宋" w:cs="仿宋"/>
                <w:sz w:val="24"/>
              </w:rPr>
            </w:pPr>
            <w:r>
              <w:rPr>
                <w:rFonts w:hint="eastAsia" w:ascii="仿宋" w:hAnsi="仿宋" w:eastAsia="仿宋" w:cs="仿宋"/>
                <w:sz w:val="24"/>
              </w:rPr>
              <w:t xml:space="preserve">委托代理人：                                 </w:t>
            </w:r>
          </w:p>
          <w:p w14:paraId="29CE8CAF">
            <w:pPr>
              <w:spacing w:line="400" w:lineRule="exact"/>
              <w:rPr>
                <w:rFonts w:hint="eastAsia" w:ascii="仿宋" w:hAnsi="仿宋" w:eastAsia="仿宋" w:cs="仿宋"/>
                <w:sz w:val="24"/>
              </w:rPr>
            </w:pPr>
            <w:r>
              <w:rPr>
                <w:rFonts w:hint="eastAsia" w:ascii="仿宋" w:hAnsi="仿宋" w:eastAsia="仿宋" w:cs="仿宋"/>
                <w:sz w:val="24"/>
              </w:rPr>
              <w:t>开户银行：</w:t>
            </w:r>
          </w:p>
          <w:p w14:paraId="73F7E991">
            <w:pPr>
              <w:spacing w:line="400" w:lineRule="exact"/>
              <w:rPr>
                <w:rFonts w:hint="eastAsia" w:ascii="仿宋" w:hAnsi="仿宋" w:eastAsia="仿宋" w:cs="仿宋"/>
                <w:sz w:val="24"/>
              </w:rPr>
            </w:pPr>
            <w:r>
              <w:rPr>
                <w:rFonts w:hint="eastAsia" w:ascii="仿宋" w:hAnsi="仿宋" w:eastAsia="仿宋" w:cs="仿宋"/>
                <w:sz w:val="24"/>
              </w:rPr>
              <w:t xml:space="preserve">账号：                          </w:t>
            </w:r>
          </w:p>
          <w:p w14:paraId="08C85145">
            <w:pPr>
              <w:spacing w:line="400" w:lineRule="exact"/>
              <w:rPr>
                <w:rFonts w:hint="eastAsia" w:ascii="仿宋" w:hAnsi="仿宋" w:eastAsia="仿宋" w:cs="仿宋"/>
                <w:sz w:val="24"/>
              </w:rPr>
            </w:pPr>
            <w:r>
              <w:rPr>
                <w:rFonts w:hint="eastAsia" w:ascii="仿宋" w:hAnsi="仿宋" w:eastAsia="仿宋" w:cs="仿宋"/>
                <w:sz w:val="24"/>
              </w:rPr>
              <w:t xml:space="preserve">签订日期：                               </w:t>
            </w:r>
          </w:p>
        </w:tc>
        <w:tc>
          <w:tcPr>
            <w:tcW w:w="4488" w:type="dxa"/>
          </w:tcPr>
          <w:p w14:paraId="07E285A2">
            <w:pPr>
              <w:spacing w:line="400" w:lineRule="exact"/>
              <w:rPr>
                <w:rFonts w:hint="eastAsia" w:ascii="仿宋" w:hAnsi="仿宋" w:eastAsia="仿宋" w:cs="仿宋"/>
                <w:sz w:val="24"/>
              </w:rPr>
            </w:pPr>
            <w:r>
              <w:rPr>
                <w:rFonts w:hint="eastAsia" w:ascii="仿宋" w:hAnsi="仿宋" w:eastAsia="仿宋" w:cs="仿宋"/>
                <w:sz w:val="24"/>
              </w:rPr>
              <w:t>乙方（公章）：</w:t>
            </w:r>
          </w:p>
          <w:p w14:paraId="182D48DC">
            <w:pPr>
              <w:spacing w:line="400" w:lineRule="exact"/>
              <w:rPr>
                <w:rFonts w:hint="eastAsia" w:ascii="仿宋" w:hAnsi="仿宋" w:eastAsia="仿宋" w:cs="仿宋"/>
                <w:sz w:val="24"/>
              </w:rPr>
            </w:pPr>
            <w:r>
              <w:rPr>
                <w:rFonts w:hint="eastAsia" w:ascii="仿宋" w:hAnsi="仿宋" w:eastAsia="仿宋" w:cs="仿宋"/>
                <w:sz w:val="24"/>
              </w:rPr>
              <w:t>地址：</w:t>
            </w:r>
          </w:p>
          <w:p w14:paraId="1C50CB75">
            <w:pPr>
              <w:spacing w:line="400" w:lineRule="exact"/>
              <w:rPr>
                <w:rFonts w:hint="eastAsia" w:ascii="仿宋" w:hAnsi="仿宋" w:eastAsia="仿宋" w:cs="仿宋"/>
                <w:sz w:val="24"/>
              </w:rPr>
            </w:pPr>
            <w:r>
              <w:rPr>
                <w:rFonts w:hint="eastAsia" w:ascii="仿宋" w:hAnsi="仿宋" w:eastAsia="仿宋" w:cs="仿宋"/>
                <w:sz w:val="24"/>
              </w:rPr>
              <w:t>法定（授权）代表人：</w:t>
            </w:r>
          </w:p>
          <w:p w14:paraId="629A0F6F">
            <w:pPr>
              <w:spacing w:line="400" w:lineRule="exact"/>
              <w:rPr>
                <w:rFonts w:hint="eastAsia" w:ascii="仿宋" w:hAnsi="仿宋" w:eastAsia="仿宋" w:cs="仿宋"/>
                <w:sz w:val="24"/>
              </w:rPr>
            </w:pPr>
            <w:r>
              <w:rPr>
                <w:rFonts w:hint="eastAsia" w:ascii="仿宋" w:hAnsi="仿宋" w:eastAsia="仿宋" w:cs="仿宋"/>
                <w:sz w:val="24"/>
              </w:rPr>
              <w:t>委托代理人：</w:t>
            </w:r>
          </w:p>
          <w:p w14:paraId="4B4EFD8D">
            <w:pPr>
              <w:spacing w:line="400" w:lineRule="exact"/>
              <w:rPr>
                <w:rFonts w:hint="eastAsia" w:ascii="仿宋" w:hAnsi="仿宋" w:eastAsia="仿宋" w:cs="仿宋"/>
                <w:sz w:val="24"/>
              </w:rPr>
            </w:pPr>
            <w:r>
              <w:rPr>
                <w:rFonts w:hint="eastAsia" w:ascii="仿宋" w:hAnsi="仿宋" w:eastAsia="仿宋" w:cs="仿宋"/>
                <w:sz w:val="24"/>
              </w:rPr>
              <w:t>开户银行：</w:t>
            </w:r>
          </w:p>
          <w:p w14:paraId="3061D71A">
            <w:pPr>
              <w:spacing w:line="400" w:lineRule="exact"/>
              <w:rPr>
                <w:rFonts w:hint="eastAsia" w:ascii="仿宋" w:hAnsi="仿宋" w:eastAsia="仿宋" w:cs="仿宋"/>
                <w:sz w:val="24"/>
              </w:rPr>
            </w:pPr>
            <w:r>
              <w:rPr>
                <w:rFonts w:hint="eastAsia" w:ascii="仿宋" w:hAnsi="仿宋" w:eastAsia="仿宋" w:cs="仿宋"/>
                <w:sz w:val="24"/>
              </w:rPr>
              <w:t>账号：</w:t>
            </w:r>
          </w:p>
          <w:p w14:paraId="3485C1DC">
            <w:pPr>
              <w:spacing w:line="400" w:lineRule="exact"/>
              <w:rPr>
                <w:rFonts w:hint="eastAsia" w:ascii="仿宋" w:hAnsi="仿宋" w:eastAsia="仿宋" w:cs="仿宋"/>
                <w:sz w:val="24"/>
              </w:rPr>
            </w:pPr>
            <w:r>
              <w:rPr>
                <w:rFonts w:hint="eastAsia" w:ascii="仿宋" w:hAnsi="仿宋" w:eastAsia="仿宋" w:cs="仿宋"/>
                <w:sz w:val="24"/>
              </w:rPr>
              <w:t>签订日期：</w:t>
            </w:r>
          </w:p>
        </w:tc>
      </w:tr>
    </w:tbl>
    <w:p w14:paraId="40E0FCD6">
      <w:pPr>
        <w:spacing w:line="500" w:lineRule="exact"/>
      </w:pPr>
      <w:r>
        <w:rPr>
          <w:rFonts w:hint="eastAsia" w:ascii="仿宋" w:hAnsi="仿宋" w:eastAsia="仿宋" w:cs="仿宋"/>
          <w:b/>
          <w:sz w:val="24"/>
        </w:rPr>
        <w:t>注：此合同样本仅作参考，甲乙双方可根据采购项目的实际情况进行修改。</w:t>
      </w:r>
    </w:p>
    <w:p w14:paraId="125064ED">
      <w:pPr>
        <w:rPr>
          <w:rFonts w:hint="eastAsia" w:ascii="宋体" w:hAnsi="宋体" w:cs="宋体"/>
          <w:sz w:val="36"/>
          <w:szCs w:val="36"/>
        </w:rPr>
      </w:pPr>
      <w:r>
        <w:rPr>
          <w:rFonts w:hint="eastAsia" w:ascii="宋体" w:hAnsi="宋体" w:cs="宋体"/>
          <w:sz w:val="36"/>
          <w:szCs w:val="36"/>
        </w:rPr>
        <w:br w:type="page"/>
      </w:r>
    </w:p>
    <w:p w14:paraId="313CA101">
      <w:pPr>
        <w:pStyle w:val="3"/>
        <w:widowControl/>
        <w:adjustRightInd w:val="0"/>
        <w:snapToGrid w:val="0"/>
        <w:spacing w:before="0" w:after="0" w:line="500" w:lineRule="exact"/>
        <w:jc w:val="center"/>
        <w:rPr>
          <w:rFonts w:hint="eastAsia" w:ascii="仿宋" w:hAnsi="仿宋" w:eastAsia="仿宋" w:cs="仿宋"/>
          <w:b w:val="0"/>
        </w:rPr>
      </w:pPr>
      <w:r>
        <w:rPr>
          <w:rFonts w:hint="eastAsia" w:ascii="仿宋" w:hAnsi="仿宋" w:eastAsia="仿宋" w:cs="仿宋"/>
          <w:bCs/>
          <w:sz w:val="36"/>
          <w:szCs w:val="36"/>
        </w:rPr>
        <w:t>第四部分  响应文件</w:t>
      </w:r>
      <w:bookmarkEnd w:id="14"/>
      <w:bookmarkEnd w:id="53"/>
      <w:r>
        <w:rPr>
          <w:rFonts w:hint="eastAsia" w:ascii="仿宋" w:hAnsi="仿宋" w:eastAsia="仿宋" w:cs="仿宋"/>
          <w:bCs/>
          <w:sz w:val="36"/>
          <w:szCs w:val="36"/>
        </w:rPr>
        <w:t>格式</w:t>
      </w:r>
    </w:p>
    <w:p w14:paraId="7DF97315">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1.</w:t>
      </w:r>
      <w:r>
        <w:rPr>
          <w:rFonts w:hint="eastAsia" w:ascii="仿宋" w:hAnsi="仿宋" w:eastAsia="仿宋" w:cs="仿宋"/>
          <w:kern w:val="0"/>
          <w:sz w:val="28"/>
          <w:szCs w:val="28"/>
        </w:rPr>
        <w:t>响应人符合《中华人民共和国政府采购法》第二十二条规定条件的声明函（格式见附件1）（如分公司参加响应的，另需提供总公司的授权证明）</w:t>
      </w:r>
      <w:r>
        <w:rPr>
          <w:rFonts w:hint="eastAsia" w:ascii="仿宋" w:hAnsi="仿宋" w:eastAsia="仿宋" w:cs="仿宋"/>
          <w:kern w:val="0"/>
          <w:sz w:val="28"/>
          <w:szCs w:val="28"/>
          <w:lang w:val="zh-CN"/>
        </w:rPr>
        <w:t>；</w:t>
      </w:r>
    </w:p>
    <w:p w14:paraId="65C0F705">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rPr>
        <w:t>2</w:t>
      </w:r>
      <w:r>
        <w:rPr>
          <w:rFonts w:hint="eastAsia" w:ascii="仿宋" w:hAnsi="仿宋" w:eastAsia="仿宋" w:cs="仿宋"/>
          <w:kern w:val="0"/>
          <w:sz w:val="28"/>
          <w:szCs w:val="28"/>
          <w:lang w:val="zh-CN"/>
        </w:rPr>
        <w:t>.法定代表人身份证明书（格式见附件2）及法人或者其他组织的</w:t>
      </w:r>
      <w:r>
        <w:rPr>
          <w:rFonts w:hint="eastAsia" w:ascii="仿宋" w:hAnsi="仿宋" w:eastAsia="仿宋" w:cs="仿宋"/>
          <w:b/>
          <w:bCs/>
          <w:kern w:val="0"/>
          <w:sz w:val="28"/>
          <w:szCs w:val="28"/>
          <w:lang w:val="zh-CN"/>
        </w:rPr>
        <w:t>营业执照等证明文件</w:t>
      </w:r>
      <w:r>
        <w:rPr>
          <w:rFonts w:hint="eastAsia" w:ascii="仿宋" w:hAnsi="仿宋" w:eastAsia="仿宋" w:cs="仿宋"/>
          <w:kern w:val="0"/>
          <w:sz w:val="28"/>
          <w:szCs w:val="28"/>
          <w:lang w:val="zh-CN"/>
        </w:rPr>
        <w:t>，自然人参加的提供身份证明；</w:t>
      </w:r>
      <w:bookmarkStart w:id="57" w:name="_GoBack"/>
      <w:bookmarkEnd w:id="57"/>
    </w:p>
    <w:p w14:paraId="36D1678A">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rPr>
        <w:t>3</w:t>
      </w:r>
      <w:r>
        <w:rPr>
          <w:rFonts w:hint="eastAsia" w:ascii="仿宋" w:hAnsi="仿宋" w:eastAsia="仿宋" w:cs="仿宋"/>
          <w:kern w:val="0"/>
          <w:sz w:val="28"/>
          <w:szCs w:val="28"/>
          <w:lang w:val="zh-CN"/>
        </w:rPr>
        <w:t>.法定代表人授权委托书原件（格式见附件3，法定代表人参加的，无需提供授权委托书），谈判代表本人身份证</w:t>
      </w:r>
      <w:r>
        <w:rPr>
          <w:rFonts w:hint="eastAsia" w:ascii="仿宋" w:hAnsi="仿宋" w:eastAsia="仿宋" w:cs="仿宋"/>
          <w:kern w:val="0"/>
          <w:sz w:val="28"/>
          <w:szCs w:val="28"/>
        </w:rPr>
        <w:t>正反面</w:t>
      </w:r>
      <w:r>
        <w:rPr>
          <w:rFonts w:hint="eastAsia" w:ascii="仿宋" w:hAnsi="仿宋" w:eastAsia="仿宋" w:cs="仿宋"/>
          <w:kern w:val="0"/>
          <w:sz w:val="28"/>
          <w:szCs w:val="28"/>
          <w:lang w:val="zh-CN"/>
        </w:rPr>
        <w:t>复印件；</w:t>
      </w:r>
    </w:p>
    <w:p w14:paraId="1A7DE21E">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rPr>
        <w:t>4.</w:t>
      </w:r>
      <w:r>
        <w:rPr>
          <w:rFonts w:hint="eastAsia" w:ascii="仿宋" w:hAnsi="仿宋" w:eastAsia="仿宋" w:cs="仿宋"/>
          <w:kern w:val="0"/>
          <w:sz w:val="28"/>
          <w:szCs w:val="28"/>
          <w:lang w:val="zh-CN"/>
        </w:rPr>
        <w:t>供应商信用承诺书（格式见附件</w:t>
      </w:r>
      <w:r>
        <w:rPr>
          <w:rFonts w:hint="eastAsia" w:ascii="仿宋" w:hAnsi="仿宋" w:eastAsia="仿宋" w:cs="仿宋"/>
          <w:kern w:val="0"/>
          <w:sz w:val="28"/>
          <w:szCs w:val="28"/>
        </w:rPr>
        <w:t>4</w:t>
      </w:r>
      <w:r>
        <w:rPr>
          <w:rFonts w:hint="eastAsia" w:ascii="仿宋" w:hAnsi="仿宋" w:eastAsia="仿宋" w:cs="仿宋"/>
          <w:kern w:val="0"/>
          <w:sz w:val="28"/>
          <w:szCs w:val="28"/>
          <w:lang w:val="zh-CN"/>
        </w:rPr>
        <w:t>）；</w:t>
      </w:r>
    </w:p>
    <w:p w14:paraId="6A58493A">
      <w:pPr>
        <w:adjustRightInd w:val="0"/>
        <w:snapToGrid w:val="0"/>
        <w:spacing w:line="500" w:lineRule="exact"/>
        <w:rPr>
          <w:rFonts w:hint="eastAsia" w:ascii="仿宋" w:hAnsi="仿宋" w:eastAsia="仿宋" w:cs="仿宋"/>
          <w:bCs/>
          <w:kern w:val="0"/>
          <w:sz w:val="28"/>
          <w:szCs w:val="28"/>
        </w:rPr>
      </w:pPr>
      <w:r>
        <w:rPr>
          <w:rFonts w:hint="eastAsia" w:ascii="仿宋" w:hAnsi="仿宋" w:eastAsia="仿宋" w:cs="仿宋"/>
          <w:bCs/>
          <w:kern w:val="0"/>
          <w:sz w:val="28"/>
          <w:szCs w:val="28"/>
        </w:rPr>
        <w:t>5.质保承诺书</w:t>
      </w:r>
      <w:r>
        <w:rPr>
          <w:rFonts w:hint="eastAsia" w:ascii="仿宋" w:hAnsi="仿宋" w:eastAsia="仿宋" w:cs="仿宋"/>
          <w:bCs/>
          <w:kern w:val="0"/>
          <w:sz w:val="28"/>
          <w:szCs w:val="28"/>
          <w:lang w:val="zh-CN"/>
        </w:rPr>
        <w:t>（格式见附件5）；</w:t>
      </w:r>
    </w:p>
    <w:p w14:paraId="57FE15FA">
      <w:pPr>
        <w:adjustRightInd w:val="0"/>
        <w:snapToGrid w:val="0"/>
        <w:spacing w:line="500" w:lineRule="exact"/>
        <w:rPr>
          <w:rFonts w:hint="eastAsia" w:ascii="仿宋" w:hAnsi="仿宋" w:eastAsia="仿宋" w:cs="仿宋"/>
          <w:sz w:val="28"/>
          <w:szCs w:val="28"/>
        </w:rPr>
      </w:pPr>
      <w:r>
        <w:rPr>
          <w:rFonts w:hint="eastAsia" w:ascii="仿宋" w:hAnsi="仿宋" w:eastAsia="仿宋" w:cs="仿宋"/>
          <w:bCs/>
          <w:kern w:val="0"/>
          <w:sz w:val="28"/>
          <w:szCs w:val="28"/>
        </w:rPr>
        <w:t>6.</w:t>
      </w:r>
      <w:r>
        <w:rPr>
          <w:rFonts w:hint="eastAsia" w:ascii="仿宋" w:hAnsi="仿宋" w:eastAsia="仿宋" w:cs="仿宋"/>
          <w:bCs/>
          <w:kern w:val="0"/>
          <w:sz w:val="28"/>
          <w:szCs w:val="28"/>
          <w:lang w:val="zh-CN"/>
        </w:rPr>
        <w:t>询价响应函（格式见附件</w:t>
      </w:r>
      <w:r>
        <w:rPr>
          <w:rFonts w:hint="eastAsia" w:ascii="仿宋" w:hAnsi="仿宋" w:eastAsia="仿宋" w:cs="仿宋"/>
          <w:bCs/>
          <w:kern w:val="0"/>
          <w:sz w:val="28"/>
          <w:szCs w:val="28"/>
        </w:rPr>
        <w:t>6</w:t>
      </w:r>
      <w:r>
        <w:rPr>
          <w:rFonts w:hint="eastAsia" w:ascii="仿宋" w:hAnsi="仿宋" w:eastAsia="仿宋" w:cs="仿宋"/>
          <w:bCs/>
          <w:kern w:val="0"/>
          <w:sz w:val="28"/>
          <w:szCs w:val="28"/>
          <w:lang w:val="zh-CN"/>
        </w:rPr>
        <w:t>）；</w:t>
      </w:r>
    </w:p>
    <w:p w14:paraId="499E04D7">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bCs/>
          <w:kern w:val="0"/>
          <w:sz w:val="28"/>
          <w:szCs w:val="28"/>
        </w:rPr>
        <w:t>7</w:t>
      </w:r>
      <w:r>
        <w:rPr>
          <w:rFonts w:hint="eastAsia" w:ascii="仿宋" w:hAnsi="仿宋" w:eastAsia="仿宋" w:cs="仿宋"/>
          <w:bCs/>
          <w:kern w:val="0"/>
          <w:sz w:val="28"/>
          <w:szCs w:val="28"/>
          <w:lang w:val="zh-CN"/>
        </w:rPr>
        <w:t>.商务部分正负偏离表；（格式见附件</w:t>
      </w:r>
      <w:r>
        <w:rPr>
          <w:rFonts w:hint="eastAsia" w:ascii="仿宋" w:hAnsi="仿宋" w:eastAsia="仿宋" w:cs="仿宋"/>
          <w:bCs/>
          <w:kern w:val="0"/>
          <w:sz w:val="28"/>
          <w:szCs w:val="28"/>
        </w:rPr>
        <w:t>7</w:t>
      </w:r>
      <w:r>
        <w:rPr>
          <w:rFonts w:hint="eastAsia" w:ascii="仿宋" w:hAnsi="仿宋" w:eastAsia="仿宋" w:cs="仿宋"/>
          <w:bCs/>
          <w:kern w:val="0"/>
          <w:sz w:val="28"/>
          <w:szCs w:val="28"/>
          <w:lang w:val="zh-CN"/>
        </w:rPr>
        <w:t>）</w:t>
      </w:r>
    </w:p>
    <w:p w14:paraId="4E2C90F5">
      <w:pPr>
        <w:adjustRightInd w:val="0"/>
        <w:snapToGrid w:val="0"/>
        <w:spacing w:line="500" w:lineRule="exact"/>
        <w:ind w:firstLine="280" w:firstLineChars="100"/>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技术部分正负偏离表；（格式见附件</w:t>
      </w:r>
      <w:r>
        <w:rPr>
          <w:rFonts w:hint="eastAsia" w:ascii="仿宋" w:hAnsi="仿宋" w:eastAsia="仿宋" w:cs="仿宋"/>
          <w:bCs/>
          <w:kern w:val="0"/>
          <w:sz w:val="28"/>
          <w:szCs w:val="28"/>
        </w:rPr>
        <w:t>8</w:t>
      </w:r>
      <w:r>
        <w:rPr>
          <w:rFonts w:hint="eastAsia" w:ascii="仿宋" w:hAnsi="仿宋" w:eastAsia="仿宋" w:cs="仿宋"/>
          <w:bCs/>
          <w:kern w:val="0"/>
          <w:sz w:val="28"/>
          <w:szCs w:val="28"/>
          <w:lang w:val="zh-CN"/>
        </w:rPr>
        <w:t>）</w:t>
      </w:r>
    </w:p>
    <w:p w14:paraId="1EC1F394">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填制正负偏离表，完全响应的，请以空白表列示。不完全响应的，</w:t>
      </w:r>
    </w:p>
    <w:p w14:paraId="11AA2FD0">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必须在偏离表中列示；列示不全的，视同故意隐瞒。</w:t>
      </w:r>
    </w:p>
    <w:p w14:paraId="48F8F722">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bCs/>
          <w:kern w:val="0"/>
          <w:sz w:val="28"/>
          <w:szCs w:val="28"/>
        </w:rPr>
        <w:t>8</w:t>
      </w:r>
      <w:r>
        <w:rPr>
          <w:rFonts w:hint="eastAsia" w:ascii="仿宋" w:hAnsi="仿宋" w:eastAsia="仿宋" w:cs="仿宋"/>
          <w:bCs/>
          <w:kern w:val="0"/>
          <w:sz w:val="28"/>
          <w:szCs w:val="28"/>
          <w:lang w:val="zh-CN"/>
        </w:rPr>
        <w:t>.询价</w:t>
      </w:r>
      <w:r>
        <w:rPr>
          <w:rFonts w:hint="eastAsia" w:ascii="仿宋" w:hAnsi="仿宋" w:eastAsia="仿宋" w:cs="仿宋"/>
          <w:kern w:val="0"/>
          <w:sz w:val="28"/>
          <w:szCs w:val="28"/>
        </w:rPr>
        <w:t>报价表</w:t>
      </w:r>
      <w:r>
        <w:rPr>
          <w:rFonts w:hint="eastAsia" w:ascii="仿宋" w:hAnsi="仿宋" w:eastAsia="仿宋" w:cs="仿宋"/>
          <w:kern w:val="0"/>
          <w:sz w:val="28"/>
          <w:szCs w:val="28"/>
          <w:lang w:val="zh-CN"/>
        </w:rPr>
        <w:t>（格式见“苏采云”系统内电子投标(响应)文件中表式）；</w:t>
      </w:r>
    </w:p>
    <w:p w14:paraId="122DB283">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rPr>
        <w:t>9</w:t>
      </w:r>
      <w:r>
        <w:rPr>
          <w:rFonts w:hint="eastAsia" w:ascii="仿宋" w:hAnsi="仿宋" w:eastAsia="仿宋" w:cs="仿宋"/>
          <w:kern w:val="0"/>
          <w:sz w:val="28"/>
          <w:szCs w:val="28"/>
          <w:lang w:val="zh-CN"/>
        </w:rPr>
        <w:t>.分项报价明细表（格式见附件</w:t>
      </w:r>
      <w:r>
        <w:rPr>
          <w:rFonts w:hint="eastAsia" w:ascii="仿宋" w:hAnsi="仿宋" w:eastAsia="仿宋" w:cs="仿宋"/>
          <w:kern w:val="0"/>
          <w:sz w:val="28"/>
          <w:szCs w:val="28"/>
        </w:rPr>
        <w:t>9</w:t>
      </w:r>
      <w:r>
        <w:rPr>
          <w:rFonts w:hint="eastAsia" w:ascii="仿宋" w:hAnsi="仿宋" w:eastAsia="仿宋" w:cs="仿宋"/>
          <w:kern w:val="0"/>
          <w:sz w:val="28"/>
          <w:szCs w:val="28"/>
          <w:lang w:val="zh-CN"/>
        </w:rPr>
        <w:t>）；</w:t>
      </w:r>
    </w:p>
    <w:p w14:paraId="7E261949">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rPr>
        <w:t>10.中小企业声明函（如有，格式见附件10）；</w:t>
      </w:r>
    </w:p>
    <w:p w14:paraId="16A51396">
      <w:pPr>
        <w:adjustRightInd w:val="0"/>
        <w:snapToGrid w:val="0"/>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val="zh-CN"/>
        </w:rPr>
        <w:t>1</w:t>
      </w:r>
      <w:r>
        <w:rPr>
          <w:rFonts w:hint="eastAsia" w:ascii="仿宋" w:hAnsi="仿宋" w:eastAsia="仿宋" w:cs="仿宋"/>
          <w:kern w:val="0"/>
          <w:sz w:val="28"/>
          <w:szCs w:val="28"/>
        </w:rPr>
        <w:t>1.残疾人福利性单位声明函（如有，格式见附件11）；</w:t>
      </w:r>
    </w:p>
    <w:p w14:paraId="55ED23F4">
      <w:pPr>
        <w:adjustRightInd w:val="0"/>
        <w:snapToGrid w:val="0"/>
        <w:spacing w:line="500" w:lineRule="exact"/>
        <w:rPr>
          <w:rFonts w:hint="eastAsia" w:ascii="宋体" w:hAnsi="宋体" w:cs="宋体"/>
          <w:kern w:val="0"/>
          <w:sz w:val="28"/>
          <w:szCs w:val="28"/>
          <w:lang w:val="zh-CN"/>
        </w:rPr>
      </w:pPr>
      <w:r>
        <w:rPr>
          <w:rFonts w:hint="eastAsia" w:ascii="仿宋" w:hAnsi="仿宋" w:eastAsia="仿宋" w:cs="仿宋"/>
          <w:kern w:val="0"/>
          <w:sz w:val="28"/>
          <w:szCs w:val="28"/>
        </w:rPr>
        <w:t>12.</w:t>
      </w:r>
      <w:r>
        <w:rPr>
          <w:rFonts w:hint="eastAsia" w:ascii="仿宋" w:hAnsi="仿宋" w:eastAsia="仿宋" w:cs="仿宋"/>
          <w:bCs/>
          <w:kern w:val="0"/>
          <w:sz w:val="28"/>
          <w:szCs w:val="28"/>
        </w:rPr>
        <w:t>监狱和戒毒企业证明材料（</w:t>
      </w:r>
      <w:r>
        <w:rPr>
          <w:rFonts w:hint="eastAsia" w:ascii="仿宋" w:hAnsi="仿宋" w:eastAsia="仿宋" w:cs="仿宋"/>
          <w:kern w:val="0"/>
          <w:sz w:val="28"/>
          <w:szCs w:val="28"/>
        </w:rPr>
        <w:t>如有，</w:t>
      </w:r>
      <w:r>
        <w:rPr>
          <w:rFonts w:hint="eastAsia" w:ascii="仿宋" w:hAnsi="仿宋" w:eastAsia="仿宋" w:cs="仿宋"/>
          <w:bCs/>
          <w:kern w:val="0"/>
          <w:sz w:val="28"/>
          <w:szCs w:val="28"/>
        </w:rPr>
        <w:t>格式见附件12）。</w:t>
      </w:r>
    </w:p>
    <w:p w14:paraId="058925E8">
      <w:pPr>
        <w:adjustRightInd w:val="0"/>
        <w:snapToGrid w:val="0"/>
        <w:spacing w:line="500" w:lineRule="exact"/>
        <w:ind w:firstLine="560" w:firstLineChars="200"/>
        <w:jc w:val="left"/>
        <w:rPr>
          <w:rFonts w:hint="eastAsia" w:ascii="宋体" w:hAnsi="宋体" w:cs="宋体"/>
          <w:b/>
          <w:sz w:val="28"/>
          <w:szCs w:val="28"/>
        </w:rPr>
      </w:pPr>
    </w:p>
    <w:p w14:paraId="797FD5B9">
      <w:pPr>
        <w:rPr>
          <w:rFonts w:hint="eastAsia" w:ascii="宋体" w:hAnsi="宋体" w:cs="宋体"/>
          <w:kern w:val="0"/>
          <w:sz w:val="32"/>
          <w:szCs w:val="32"/>
          <w:lang w:val="zh-CN"/>
        </w:rPr>
      </w:pPr>
      <w:r>
        <w:rPr>
          <w:rFonts w:hint="eastAsia" w:ascii="宋体" w:hAnsi="宋体" w:cs="宋体"/>
          <w:kern w:val="0"/>
          <w:sz w:val="32"/>
          <w:szCs w:val="32"/>
          <w:lang w:val="zh-CN"/>
        </w:rPr>
        <w:br w:type="page"/>
      </w:r>
    </w:p>
    <w:p w14:paraId="38370CFF">
      <w:pPr>
        <w:snapToGrid w:val="0"/>
        <w:spacing w:line="400" w:lineRule="exact"/>
        <w:contextualSpacing/>
        <w:rPr>
          <w:rFonts w:eastAsia="方正黑体_GBK"/>
          <w:kern w:val="0"/>
          <w:sz w:val="32"/>
          <w:szCs w:val="32"/>
          <w:lang w:val="zh-CN"/>
        </w:rPr>
      </w:pPr>
      <w:r>
        <w:rPr>
          <w:rFonts w:eastAsia="方正黑体_GBK"/>
          <w:kern w:val="0"/>
          <w:sz w:val="32"/>
          <w:szCs w:val="32"/>
          <w:lang w:val="zh-CN"/>
        </w:rPr>
        <w:t>附件1</w:t>
      </w:r>
    </w:p>
    <w:p w14:paraId="32FA76F8">
      <w:pPr>
        <w:jc w:val="center"/>
        <w:rPr>
          <w:rFonts w:hint="eastAsia" w:ascii="宋体" w:hAnsi="宋体"/>
          <w:b/>
          <w:color w:val="000000"/>
          <w:sz w:val="30"/>
          <w:szCs w:val="30"/>
        </w:rPr>
      </w:pPr>
      <w:r>
        <w:rPr>
          <w:rFonts w:hint="eastAsia" w:ascii="宋体" w:hAnsi="宋体"/>
          <w:b/>
          <w:color w:val="000000"/>
          <w:sz w:val="30"/>
          <w:szCs w:val="30"/>
        </w:rPr>
        <w:t>响应人符合《中华人民共和国政府采购法》第二十二条规定条件的声明函</w:t>
      </w:r>
    </w:p>
    <w:p w14:paraId="4DB2C3E3">
      <w:pPr>
        <w:spacing w:line="460" w:lineRule="exact"/>
        <w:rPr>
          <w:rFonts w:hint="eastAsia" w:ascii="宋体" w:hAnsi="宋体"/>
          <w:b/>
          <w:bCs/>
          <w:color w:val="000000"/>
          <w:sz w:val="44"/>
          <w:szCs w:val="44"/>
        </w:rPr>
      </w:pPr>
    </w:p>
    <w:p w14:paraId="5E11B35B">
      <w:pPr>
        <w:spacing w:line="520" w:lineRule="exact"/>
        <w:ind w:firstLine="480" w:firstLineChars="200"/>
        <w:rPr>
          <w:rFonts w:hint="eastAsia" w:ascii="宋体" w:hAnsi="宋体"/>
          <w:b/>
          <w:bCs/>
          <w:color w:val="000000"/>
          <w:sz w:val="24"/>
        </w:rPr>
      </w:pPr>
      <w:r>
        <w:rPr>
          <w:rFonts w:hint="eastAsia" w:ascii="宋体" w:hAnsi="宋体"/>
          <w:bCs/>
          <w:color w:val="000000"/>
          <w:sz w:val="24"/>
        </w:rPr>
        <w:t>我单位参加</w:t>
      </w:r>
      <w:r>
        <w:rPr>
          <w:rFonts w:hint="eastAsia" w:ascii="宋体" w:hAnsi="宋体"/>
          <w:bCs/>
          <w:color w:val="000000"/>
          <w:sz w:val="24"/>
          <w:szCs w:val="21"/>
          <w:u w:val="single"/>
        </w:rPr>
        <w:t>__________________</w:t>
      </w:r>
      <w:r>
        <w:rPr>
          <w:rFonts w:hint="eastAsia" w:ascii="宋体" w:hAnsi="宋体"/>
          <w:bCs/>
          <w:color w:val="000000"/>
          <w:sz w:val="24"/>
          <w:szCs w:val="21"/>
        </w:rPr>
        <w:t>（项目名称），</w:t>
      </w:r>
      <w:r>
        <w:rPr>
          <w:rFonts w:hint="eastAsia" w:ascii="宋体" w:hAnsi="宋体"/>
          <w:bCs/>
          <w:color w:val="000000"/>
          <w:sz w:val="24"/>
          <w:szCs w:val="21"/>
          <w:u w:val="single"/>
        </w:rPr>
        <w:t>__________________</w:t>
      </w:r>
      <w:r>
        <w:rPr>
          <w:rFonts w:hint="eastAsia" w:ascii="宋体" w:hAnsi="宋体"/>
          <w:bCs/>
          <w:color w:val="000000"/>
          <w:sz w:val="24"/>
          <w:szCs w:val="21"/>
        </w:rPr>
        <w:t>（项目编号）响应活动。针对《中华人民共和国政府采购法》第二十二条规定做出如下声明：</w:t>
      </w:r>
    </w:p>
    <w:p w14:paraId="681A865E">
      <w:pPr>
        <w:spacing w:line="520" w:lineRule="exact"/>
        <w:ind w:firstLine="482"/>
        <w:rPr>
          <w:rFonts w:hint="eastAsia" w:ascii="宋体" w:hAnsi="宋体"/>
          <w:color w:val="000000"/>
          <w:sz w:val="24"/>
        </w:rPr>
      </w:pPr>
      <w:r>
        <w:rPr>
          <w:rFonts w:hint="eastAsia" w:ascii="宋体" w:hAnsi="宋体"/>
          <w:bCs/>
          <w:color w:val="000000"/>
          <w:sz w:val="24"/>
          <w:szCs w:val="21"/>
        </w:rPr>
        <w:t>1.我单位具有独立承担民事责任的能力；</w:t>
      </w:r>
    </w:p>
    <w:p w14:paraId="5CA1BBF5">
      <w:pPr>
        <w:spacing w:line="520" w:lineRule="exact"/>
        <w:ind w:firstLine="482"/>
        <w:rPr>
          <w:rFonts w:hint="eastAsia" w:ascii="宋体" w:hAnsi="宋体"/>
          <w:color w:val="000000"/>
          <w:sz w:val="24"/>
        </w:rPr>
      </w:pPr>
      <w:r>
        <w:rPr>
          <w:rFonts w:hint="eastAsia" w:ascii="宋体" w:hAnsi="宋体"/>
          <w:color w:val="000000"/>
          <w:sz w:val="24"/>
        </w:rPr>
        <w:t>2.我单位具有良好的商业信誉和健全的财务会计制度；</w:t>
      </w:r>
    </w:p>
    <w:p w14:paraId="43B490DA">
      <w:pPr>
        <w:spacing w:line="520" w:lineRule="exact"/>
        <w:ind w:firstLine="482"/>
        <w:rPr>
          <w:rFonts w:hint="eastAsia" w:ascii="宋体" w:hAnsi="宋体"/>
          <w:color w:val="000000"/>
          <w:sz w:val="24"/>
        </w:rPr>
      </w:pPr>
      <w:r>
        <w:rPr>
          <w:rFonts w:hint="eastAsia" w:ascii="宋体" w:hAnsi="宋体"/>
          <w:color w:val="000000"/>
          <w:sz w:val="24"/>
        </w:rPr>
        <w:t>3.我单位具有履行合同所必需的设备和专业技术能力；</w:t>
      </w:r>
    </w:p>
    <w:p w14:paraId="0125D5CA">
      <w:pPr>
        <w:spacing w:line="520" w:lineRule="exact"/>
        <w:ind w:firstLine="482"/>
        <w:rPr>
          <w:rFonts w:hint="eastAsia" w:ascii="宋体" w:hAnsi="宋体"/>
          <w:color w:val="000000"/>
          <w:sz w:val="24"/>
        </w:rPr>
      </w:pPr>
      <w:r>
        <w:rPr>
          <w:rFonts w:hint="eastAsia" w:ascii="宋体" w:hAnsi="宋体"/>
          <w:color w:val="000000"/>
          <w:sz w:val="24"/>
        </w:rPr>
        <w:t>4.我单位有依法缴纳税收和社会保障资金的良好记录；</w:t>
      </w:r>
    </w:p>
    <w:p w14:paraId="23874AA6">
      <w:pPr>
        <w:spacing w:line="520" w:lineRule="exact"/>
        <w:ind w:firstLine="482"/>
        <w:rPr>
          <w:rFonts w:hint="eastAsia" w:ascii="宋体" w:hAnsi="宋体"/>
          <w:color w:val="000000"/>
          <w:sz w:val="24"/>
        </w:rPr>
      </w:pPr>
      <w:r>
        <w:rPr>
          <w:rFonts w:hint="eastAsia" w:ascii="宋体" w:hAnsi="宋体"/>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84798DA">
      <w:pPr>
        <w:spacing w:line="520" w:lineRule="exact"/>
        <w:ind w:firstLine="482"/>
        <w:rPr>
          <w:rFonts w:hint="eastAsia" w:ascii="宋体" w:hAnsi="宋体"/>
          <w:color w:val="000000"/>
          <w:sz w:val="24"/>
        </w:rPr>
      </w:pPr>
      <w:r>
        <w:rPr>
          <w:rFonts w:hint="eastAsia" w:ascii="宋体" w:hAnsi="宋体"/>
          <w:color w:val="000000"/>
          <w:sz w:val="24"/>
        </w:rPr>
        <w:t>6.我单位满足法律、行政法规规定的其他条件。</w:t>
      </w:r>
    </w:p>
    <w:p w14:paraId="0DBF9A4F">
      <w:pPr>
        <w:spacing w:line="500" w:lineRule="exact"/>
        <w:ind w:firstLine="482"/>
        <w:rPr>
          <w:rFonts w:hint="eastAsia" w:ascii="宋体" w:hAnsi="宋体"/>
          <w:color w:val="000000"/>
          <w:sz w:val="24"/>
        </w:rPr>
      </w:pPr>
    </w:p>
    <w:p w14:paraId="0A8F7FE3">
      <w:pPr>
        <w:spacing w:line="500" w:lineRule="exact"/>
        <w:rPr>
          <w:rFonts w:hint="eastAsia" w:ascii="宋体" w:hAnsi="宋体"/>
          <w:color w:val="000000"/>
          <w:sz w:val="24"/>
        </w:rPr>
      </w:pPr>
    </w:p>
    <w:p w14:paraId="3E29E59E">
      <w:pPr>
        <w:spacing w:line="500" w:lineRule="exact"/>
        <w:rPr>
          <w:rFonts w:hint="eastAsia" w:ascii="宋体" w:hAnsi="宋体"/>
          <w:bCs/>
          <w:color w:val="000000"/>
          <w:sz w:val="24"/>
          <w:szCs w:val="21"/>
        </w:rPr>
      </w:pPr>
    </w:p>
    <w:p w14:paraId="685ABECB">
      <w:pPr>
        <w:spacing w:line="500" w:lineRule="exact"/>
        <w:rPr>
          <w:rFonts w:hint="eastAsia" w:ascii="宋体" w:hAnsi="宋体"/>
          <w:bCs/>
          <w:color w:val="000000"/>
          <w:sz w:val="24"/>
          <w:szCs w:val="21"/>
        </w:rPr>
      </w:pPr>
    </w:p>
    <w:p w14:paraId="7C56528D">
      <w:pPr>
        <w:spacing w:line="500" w:lineRule="exact"/>
        <w:rPr>
          <w:rFonts w:hint="eastAsia" w:ascii="宋体" w:hAnsi="宋体"/>
          <w:bCs/>
          <w:color w:val="000000"/>
          <w:sz w:val="24"/>
          <w:szCs w:val="21"/>
        </w:rPr>
      </w:pPr>
    </w:p>
    <w:p w14:paraId="16A9DF24">
      <w:pPr>
        <w:spacing w:line="460" w:lineRule="exact"/>
        <w:jc w:val="center"/>
        <w:rPr>
          <w:rFonts w:hint="eastAsia" w:ascii="宋体" w:hAnsi="宋体"/>
          <w:bCs/>
          <w:color w:val="000000"/>
          <w:sz w:val="24"/>
          <w:szCs w:val="21"/>
        </w:rPr>
      </w:pPr>
      <w:r>
        <w:rPr>
          <w:rFonts w:hint="eastAsia" w:ascii="宋体" w:hAnsi="宋体"/>
          <w:bCs/>
          <w:color w:val="000000"/>
          <w:sz w:val="24"/>
          <w:szCs w:val="21"/>
        </w:rPr>
        <w:t xml:space="preserve">                                             承诺人名称（公章）：</w:t>
      </w:r>
    </w:p>
    <w:p w14:paraId="0DE21B8F">
      <w:pPr>
        <w:spacing w:line="460" w:lineRule="exact"/>
        <w:jc w:val="right"/>
        <w:rPr>
          <w:rFonts w:hint="eastAsia" w:ascii="宋体" w:hAnsi="宋体"/>
          <w:bCs/>
          <w:color w:val="000000"/>
          <w:sz w:val="24"/>
          <w:szCs w:val="21"/>
        </w:rPr>
      </w:pPr>
    </w:p>
    <w:p w14:paraId="3647E842">
      <w:pPr>
        <w:spacing w:line="460" w:lineRule="exact"/>
        <w:jc w:val="righ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______</w:t>
      </w:r>
      <w:r>
        <w:rPr>
          <w:rFonts w:hint="eastAsia" w:ascii="宋体" w:hAnsi="宋体"/>
          <w:bCs/>
          <w:color w:val="000000"/>
          <w:sz w:val="24"/>
          <w:szCs w:val="21"/>
        </w:rPr>
        <w:t>年</w:t>
      </w:r>
      <w:r>
        <w:rPr>
          <w:rFonts w:hint="eastAsia" w:ascii="宋体" w:hAnsi="宋体"/>
          <w:bCs/>
          <w:color w:val="000000"/>
          <w:sz w:val="24"/>
          <w:szCs w:val="21"/>
          <w:u w:val="single"/>
        </w:rPr>
        <w:t xml:space="preserve">    </w:t>
      </w:r>
      <w:r>
        <w:rPr>
          <w:rFonts w:hint="eastAsia" w:ascii="宋体" w:hAnsi="宋体"/>
          <w:bCs/>
          <w:color w:val="000000"/>
          <w:sz w:val="24"/>
          <w:szCs w:val="21"/>
        </w:rPr>
        <w:t>月</w:t>
      </w:r>
      <w:r>
        <w:rPr>
          <w:rFonts w:hint="eastAsia" w:ascii="宋体" w:hAnsi="宋体"/>
          <w:bCs/>
          <w:color w:val="000000"/>
          <w:sz w:val="24"/>
          <w:szCs w:val="21"/>
          <w:u w:val="single"/>
        </w:rPr>
        <w:t xml:space="preserve">    </w:t>
      </w:r>
      <w:r>
        <w:rPr>
          <w:rFonts w:hint="eastAsia" w:ascii="宋体" w:hAnsi="宋体"/>
          <w:bCs/>
          <w:color w:val="000000"/>
          <w:sz w:val="24"/>
          <w:szCs w:val="21"/>
        </w:rPr>
        <w:t>日</w:t>
      </w:r>
    </w:p>
    <w:p w14:paraId="7FA6055D">
      <w:pPr>
        <w:spacing w:line="360" w:lineRule="auto"/>
        <w:rPr>
          <w:rFonts w:hint="eastAsia" w:ascii="宋体" w:hAnsi="宋体" w:cs="宋体"/>
          <w:bCs/>
          <w:sz w:val="24"/>
          <w:szCs w:val="21"/>
        </w:rPr>
      </w:pPr>
      <w:r>
        <w:rPr>
          <w:rFonts w:hint="eastAsia" w:ascii="宋体" w:hAnsi="宋体" w:cs="宋体"/>
          <w:bCs/>
          <w:sz w:val="24"/>
          <w:szCs w:val="21"/>
        </w:rPr>
        <w:br w:type="page"/>
      </w:r>
    </w:p>
    <w:p w14:paraId="1F28B560">
      <w:pPr>
        <w:jc w:val="left"/>
        <w:rPr>
          <w:rFonts w:hint="eastAsia" w:ascii="宋体" w:hAnsi="宋体" w:cs="宋体"/>
          <w:bCs/>
          <w:sz w:val="32"/>
          <w:szCs w:val="32"/>
        </w:rPr>
      </w:pPr>
      <w:r>
        <w:rPr>
          <w:rFonts w:hint="eastAsia" w:ascii="宋体" w:hAnsi="宋体" w:cs="宋体"/>
          <w:bCs/>
          <w:sz w:val="32"/>
          <w:szCs w:val="32"/>
        </w:rPr>
        <w:t>附件2</w:t>
      </w:r>
    </w:p>
    <w:p w14:paraId="77C2EFA0">
      <w:pPr>
        <w:spacing w:line="560" w:lineRule="exact"/>
        <w:jc w:val="center"/>
        <w:rPr>
          <w:rFonts w:hint="eastAsia" w:ascii="宋体" w:hAnsi="宋体" w:cs="宋体"/>
          <w:b/>
          <w:bCs/>
          <w:sz w:val="32"/>
          <w:szCs w:val="32"/>
        </w:rPr>
      </w:pPr>
      <w:r>
        <w:rPr>
          <w:rFonts w:hint="eastAsia" w:ascii="宋体" w:hAnsi="宋体" w:cs="宋体"/>
          <w:b/>
          <w:bCs/>
          <w:sz w:val="32"/>
          <w:szCs w:val="32"/>
        </w:rPr>
        <w:t>法定代表人身份证明</w:t>
      </w:r>
    </w:p>
    <w:p w14:paraId="0C6FBF78">
      <w:pPr>
        <w:spacing w:line="480" w:lineRule="exact"/>
        <w:rPr>
          <w:rFonts w:hint="eastAsia" w:ascii="宋体" w:hAnsi="宋体" w:cs="宋体"/>
          <w:sz w:val="24"/>
        </w:rPr>
      </w:pPr>
    </w:p>
    <w:p w14:paraId="36111943">
      <w:pPr>
        <w:spacing w:line="480" w:lineRule="exact"/>
        <w:ind w:firstLine="480"/>
        <w:rPr>
          <w:rFonts w:hint="eastAsia" w:ascii="宋体" w:hAnsi="宋体"/>
          <w:sz w:val="24"/>
          <w:u w:val="single"/>
        </w:rPr>
      </w:pPr>
      <w:r>
        <w:rPr>
          <w:rFonts w:ascii="宋体" w:hAnsi="宋体"/>
          <w:sz w:val="24"/>
          <w:u w:val="single"/>
        </w:rPr>
        <w:t xml:space="preserve">        </w:t>
      </w:r>
      <w:r>
        <w:rPr>
          <w:rFonts w:hint="eastAsia" w:ascii="宋体" w:hAnsi="宋体"/>
          <w:sz w:val="24"/>
        </w:rPr>
        <w:t>先生/女士，身份证号码：</w:t>
      </w:r>
      <w:r>
        <w:rPr>
          <w:rFonts w:ascii="宋体" w:hAnsi="宋体"/>
          <w:sz w:val="24"/>
          <w:u w:val="single"/>
        </w:rPr>
        <w:t xml:space="preserve">                                 </w:t>
      </w:r>
      <w:r>
        <w:rPr>
          <w:rFonts w:hint="eastAsia" w:ascii="宋体" w:hAnsi="宋体"/>
          <w:sz w:val="24"/>
        </w:rPr>
        <w:t>，</w:t>
      </w:r>
    </w:p>
    <w:p w14:paraId="490301CC">
      <w:pPr>
        <w:spacing w:line="480" w:lineRule="exact"/>
        <w:rPr>
          <w:rFonts w:hint="eastAsia" w:ascii="宋体" w:hAnsi="宋体"/>
          <w:sz w:val="24"/>
        </w:rPr>
      </w:pPr>
      <w:r>
        <w:rPr>
          <w:rFonts w:hint="eastAsia" w:ascii="宋体" w:hAnsi="宋体"/>
          <w:sz w:val="24"/>
        </w:rPr>
        <w:t>现任我单位</w:t>
      </w:r>
      <w:r>
        <w:rPr>
          <w:rFonts w:ascii="宋体" w:hAnsi="宋体"/>
          <w:sz w:val="24"/>
          <w:u w:val="single"/>
        </w:rPr>
        <w:t xml:space="preserve">        </w:t>
      </w:r>
      <w:r>
        <w:rPr>
          <w:rFonts w:hint="eastAsia" w:ascii="宋体" w:hAnsi="宋体"/>
          <w:sz w:val="24"/>
        </w:rPr>
        <w:t>职务，为法定代表人，特此证明。</w:t>
      </w:r>
    </w:p>
    <w:p w14:paraId="1368BC83">
      <w:pPr>
        <w:spacing w:line="480" w:lineRule="exact"/>
        <w:ind w:firstLine="480"/>
        <w:rPr>
          <w:rFonts w:hint="eastAsia" w:ascii="宋体" w:hAnsi="宋体"/>
          <w:sz w:val="24"/>
        </w:rPr>
      </w:pPr>
    </w:p>
    <w:p w14:paraId="3414B96B">
      <w:pPr>
        <w:spacing w:after="120"/>
        <w:rPr>
          <w:rFonts w:ascii="Times New Roman" w:hAnsi="Times New Roman"/>
          <w:szCs w:val="20"/>
        </w:rPr>
      </w:pPr>
    </w:p>
    <w:p w14:paraId="1A1A10D2">
      <w:pPr>
        <w:adjustRightInd w:val="0"/>
        <w:spacing w:line="480" w:lineRule="auto"/>
        <w:ind w:left="3255" w:leftChars="1550" w:firstLine="210" w:firstLineChars="100"/>
        <w:rPr>
          <w:rFonts w:ascii="Times New Roman" w:hAnsi="Times New Roman"/>
        </w:rPr>
      </w:pPr>
    </w:p>
    <w:p w14:paraId="7503FEAF">
      <w:pPr>
        <w:adjustRightInd w:val="0"/>
        <w:spacing w:line="480" w:lineRule="auto"/>
        <w:ind w:left="3255" w:leftChars="1550" w:firstLine="240" w:firstLineChars="100"/>
        <w:rPr>
          <w:rFonts w:hint="eastAsia" w:ascii="宋体" w:hAnsi="宋体"/>
          <w:sz w:val="24"/>
        </w:rPr>
      </w:pPr>
      <w:r>
        <w:rPr>
          <w:rFonts w:hint="eastAsia" w:ascii="宋体" w:hAnsi="宋体"/>
          <w:sz w:val="24"/>
        </w:rPr>
        <w:t>单位名称(盖公章)：</w:t>
      </w:r>
      <w:r>
        <w:rPr>
          <w:rFonts w:ascii="宋体" w:hAnsi="宋体"/>
          <w:sz w:val="24"/>
          <w:u w:val="single"/>
        </w:rPr>
        <w:t xml:space="preserve">                 </w:t>
      </w:r>
    </w:p>
    <w:p w14:paraId="354E7AD5">
      <w:pPr>
        <w:adjustRightInd w:val="0"/>
        <w:spacing w:line="480" w:lineRule="auto"/>
        <w:ind w:firstLine="3840" w:firstLineChars="1600"/>
        <w:rPr>
          <w:rFonts w:hint="eastAsia" w:ascii="宋体" w:hAnsi="宋体" w:cs="宋体"/>
          <w:sz w:val="24"/>
        </w:rPr>
      </w:pPr>
      <w:r>
        <w:rPr>
          <w:rFonts w:hint="eastAsia" w:ascii="宋体" w:hAnsi="宋体"/>
          <w:sz w:val="24"/>
        </w:rPr>
        <w:t>日 期：     年   月   日</w:t>
      </w:r>
    </w:p>
    <w:p w14:paraId="1ECB0F94">
      <w:pPr>
        <w:rPr>
          <w:rFonts w:hint="eastAsia" w:ascii="宋体" w:hAnsi="宋体" w:cs="宋体"/>
        </w:rPr>
      </w:pPr>
    </w:p>
    <w:p w14:paraId="6F215E34">
      <w:pPr>
        <w:widowControl/>
        <w:spacing w:line="360" w:lineRule="auto"/>
        <w:rPr>
          <w:rFonts w:hint="eastAsia" w:ascii="宋体" w:hAnsi="宋体" w:cs="宋体"/>
          <w:b/>
          <w:bCs/>
          <w:kern w:val="0"/>
          <w:sz w:val="28"/>
          <w:szCs w:val="28"/>
        </w:rPr>
      </w:pPr>
      <w:r>
        <w:rPr>
          <w:rFonts w:hint="eastAsia" w:ascii="宋体" w:hAnsi="宋体" w:cs="宋体"/>
          <w:b/>
          <w:sz w:val="24"/>
        </w:rPr>
        <w:t>附：法定代表人的身份证正反面复印件盖单位公章</w:t>
      </w:r>
    </w:p>
    <w:p w14:paraId="6E27EEFE">
      <w:pPr>
        <w:adjustRightInd w:val="0"/>
        <w:snapToGrid w:val="0"/>
        <w:spacing w:line="312" w:lineRule="auto"/>
        <w:ind w:firstLine="560" w:firstLineChars="200"/>
        <w:jc w:val="left"/>
        <w:rPr>
          <w:rFonts w:hint="eastAsia" w:ascii="宋体" w:hAnsi="宋体" w:cs="宋体"/>
          <w:b/>
          <w:sz w:val="28"/>
          <w:szCs w:val="28"/>
        </w:rPr>
      </w:pPr>
    </w:p>
    <w:p w14:paraId="0D087B17">
      <w:pPr>
        <w:adjustRightInd w:val="0"/>
        <w:snapToGrid w:val="0"/>
        <w:spacing w:line="312" w:lineRule="auto"/>
        <w:jc w:val="left"/>
        <w:rPr>
          <w:rFonts w:hint="eastAsia" w:ascii="宋体" w:hAnsi="宋体" w:cs="宋体"/>
          <w:sz w:val="32"/>
          <w:szCs w:val="32"/>
        </w:rPr>
      </w:pPr>
      <w:r>
        <w:rPr>
          <w:rFonts w:hint="eastAsia" w:ascii="宋体" w:hAnsi="宋体" w:cs="宋体"/>
          <w:b/>
          <w:bCs/>
          <w:sz w:val="28"/>
          <w:szCs w:val="28"/>
        </w:rPr>
        <w:br w:type="page"/>
      </w:r>
      <w:r>
        <w:rPr>
          <w:rFonts w:hint="eastAsia" w:ascii="宋体" w:hAnsi="宋体" w:cs="宋体"/>
          <w:sz w:val="32"/>
          <w:szCs w:val="32"/>
        </w:rPr>
        <w:t>附件3</w:t>
      </w:r>
    </w:p>
    <w:p w14:paraId="1966DBBA">
      <w:pPr>
        <w:jc w:val="center"/>
        <w:rPr>
          <w:sz w:val="32"/>
          <w:szCs w:val="32"/>
        </w:rPr>
      </w:pPr>
      <w:r>
        <w:rPr>
          <w:rFonts w:hint="eastAsia"/>
          <w:sz w:val="32"/>
          <w:szCs w:val="32"/>
        </w:rPr>
        <w:t>法定代表人授权委托书</w:t>
      </w:r>
    </w:p>
    <w:p w14:paraId="1A083528">
      <w:pPr>
        <w:rPr>
          <w:sz w:val="32"/>
          <w:szCs w:val="32"/>
        </w:rPr>
      </w:pPr>
    </w:p>
    <w:p w14:paraId="47EBF70E">
      <w:pPr>
        <w:ind w:firstLine="560" w:firstLineChars="200"/>
        <w:rPr>
          <w:rFonts w:hint="eastAsia" w:ascii="宋体" w:hAnsi="宋体"/>
          <w:sz w:val="28"/>
          <w:szCs w:val="28"/>
        </w:rPr>
      </w:pPr>
      <w:r>
        <w:rPr>
          <w:rFonts w:hint="eastAsia" w:ascii="宋体" w:hAnsi="宋体"/>
          <w:sz w:val="28"/>
          <w:szCs w:val="28"/>
        </w:rPr>
        <w:t>本人</w:t>
      </w:r>
      <w:r>
        <w:rPr>
          <w:rFonts w:hint="eastAsia" w:ascii="宋体" w:hAnsi="宋体"/>
          <w:sz w:val="24"/>
          <w:szCs w:val="21"/>
          <w:u w:val="single"/>
          <w:lang w:val="en-US" w:eastAsia="zh-CN"/>
        </w:rPr>
        <w:t xml:space="preserve">         </w:t>
      </w:r>
      <w:r>
        <w:rPr>
          <w:rFonts w:hint="eastAsia" w:ascii="宋体" w:hAnsi="宋体"/>
          <w:sz w:val="28"/>
          <w:szCs w:val="28"/>
        </w:rPr>
        <w:t>（姓名）系</w:t>
      </w:r>
      <w:r>
        <w:rPr>
          <w:rFonts w:hint="eastAsia" w:ascii="宋体" w:hAnsi="宋体"/>
          <w:sz w:val="24"/>
          <w:szCs w:val="21"/>
          <w:u w:val="single"/>
          <w:lang w:val="en-US" w:eastAsia="zh-CN"/>
        </w:rPr>
        <w:t xml:space="preserve">         </w:t>
      </w:r>
      <w:r>
        <w:rPr>
          <w:rFonts w:hint="eastAsia" w:ascii="宋体" w:hAnsi="宋体"/>
          <w:sz w:val="28"/>
          <w:szCs w:val="28"/>
        </w:rPr>
        <w:t>（授权单位名称）的法定代表人，现委托</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（姓名）（身份证号</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）为我方代理人，以我方名义全权处理与</w:t>
      </w:r>
      <w:r>
        <w:rPr>
          <w:rFonts w:hint="eastAsia" w:ascii="宋体" w:hAnsi="宋体"/>
          <w:sz w:val="24"/>
          <w:szCs w:val="21"/>
          <w:u w:val="single"/>
          <w:lang w:val="en-US" w:eastAsia="zh-CN"/>
        </w:rPr>
        <w:t xml:space="preserve">         </w:t>
      </w:r>
      <w:r>
        <w:rPr>
          <w:rFonts w:hint="eastAsia" w:ascii="宋体" w:hAnsi="宋体"/>
          <w:sz w:val="28"/>
          <w:szCs w:val="28"/>
          <w:u w:val="single"/>
        </w:rPr>
        <w:t>（项目名称）</w:t>
      </w:r>
      <w:r>
        <w:rPr>
          <w:rFonts w:hint="eastAsia" w:ascii="宋体" w:hAnsi="宋体"/>
          <w:sz w:val="28"/>
          <w:szCs w:val="28"/>
        </w:rPr>
        <w:t>（</w:t>
      </w:r>
      <w:r>
        <w:rPr>
          <w:rFonts w:hint="eastAsia" w:ascii="宋体" w:hAnsi="宋体"/>
          <w:sz w:val="28"/>
          <w:szCs w:val="28"/>
          <w:u w:val="single"/>
        </w:rPr>
        <w:t>项目编号：</w:t>
      </w:r>
      <w:r>
        <w:rPr>
          <w:rFonts w:hint="eastAsia" w:ascii="宋体" w:hAnsi="宋体"/>
          <w:sz w:val="24"/>
          <w:szCs w:val="21"/>
          <w:u w:val="single"/>
          <w:lang w:val="en-US" w:eastAsia="zh-CN"/>
        </w:rPr>
        <w:t xml:space="preserve">         </w:t>
      </w:r>
      <w:r>
        <w:rPr>
          <w:rFonts w:hint="eastAsia" w:ascii="宋体" w:hAnsi="宋体"/>
          <w:sz w:val="28"/>
          <w:szCs w:val="28"/>
        </w:rPr>
        <w:t>）有关的一切事务，其法律后果由我方承担。</w:t>
      </w:r>
    </w:p>
    <w:p w14:paraId="42719E6A">
      <w:pPr>
        <w:ind w:firstLine="560" w:firstLineChars="200"/>
        <w:rPr>
          <w:rFonts w:hint="eastAsia" w:ascii="宋体" w:hAnsi="宋体"/>
          <w:sz w:val="28"/>
          <w:szCs w:val="28"/>
        </w:rPr>
      </w:pPr>
      <w:r>
        <w:rPr>
          <w:rFonts w:hint="eastAsia" w:ascii="宋体" w:hAnsi="宋体"/>
          <w:sz w:val="28"/>
          <w:szCs w:val="28"/>
        </w:rPr>
        <w:t>本授权书于</w:t>
      </w:r>
      <w:r>
        <w:rPr>
          <w:rFonts w:hint="eastAsia" w:ascii="宋体" w:hAnsi="宋体"/>
          <w:sz w:val="24"/>
          <w:szCs w:val="21"/>
          <w:u w:val="single"/>
          <w:lang w:val="en-US" w:eastAsia="zh-CN"/>
        </w:rPr>
        <w:t xml:space="preserve">     </w:t>
      </w:r>
      <w:r>
        <w:rPr>
          <w:rFonts w:hint="eastAsia" w:ascii="宋体" w:hAnsi="宋体"/>
          <w:sz w:val="28"/>
          <w:szCs w:val="28"/>
        </w:rPr>
        <w:t>年</w:t>
      </w:r>
      <w:r>
        <w:rPr>
          <w:rFonts w:hint="eastAsia" w:ascii="宋体" w:hAnsi="宋体"/>
          <w:sz w:val="24"/>
          <w:szCs w:val="21"/>
          <w:u w:val="single"/>
          <w:lang w:val="en-US" w:eastAsia="zh-CN"/>
        </w:rPr>
        <w:t xml:space="preserve">     </w:t>
      </w:r>
      <w:r>
        <w:rPr>
          <w:rFonts w:hint="eastAsia" w:ascii="宋体" w:hAnsi="宋体"/>
          <w:sz w:val="28"/>
          <w:szCs w:val="28"/>
        </w:rPr>
        <w:t>月</w:t>
      </w:r>
      <w:r>
        <w:rPr>
          <w:rFonts w:hint="eastAsia" w:ascii="宋体" w:hAnsi="宋体"/>
          <w:sz w:val="24"/>
          <w:szCs w:val="21"/>
          <w:u w:val="single"/>
          <w:lang w:val="en-US" w:eastAsia="zh-CN"/>
        </w:rPr>
        <w:t xml:space="preserve">     </w:t>
      </w:r>
      <w:r>
        <w:rPr>
          <w:rFonts w:hint="eastAsia" w:ascii="宋体" w:hAnsi="宋体"/>
          <w:sz w:val="28"/>
          <w:szCs w:val="28"/>
        </w:rPr>
        <w:t>日起生效。代理人无转委托权。</w:t>
      </w:r>
    </w:p>
    <w:p w14:paraId="1BD7298B">
      <w:pPr>
        <w:ind w:firstLine="420" w:firstLineChars="150"/>
        <w:rPr>
          <w:rFonts w:hint="default" w:ascii="宋体" w:hAnsi="宋体" w:eastAsia="宋体"/>
          <w:sz w:val="28"/>
          <w:szCs w:val="28"/>
          <w:u w:val="single"/>
          <w:lang w:val="en-US" w:eastAsia="zh-CN"/>
        </w:rPr>
      </w:pPr>
      <w:r>
        <w:rPr>
          <w:rFonts w:hint="eastAsia" w:ascii="宋体" w:hAnsi="宋体"/>
          <w:sz w:val="28"/>
          <w:szCs w:val="28"/>
        </w:rPr>
        <w:t>代理人(被授权人)联系电话:</w:t>
      </w:r>
      <w:r>
        <w:rPr>
          <w:rFonts w:hint="eastAsia" w:ascii="宋体" w:hAnsi="宋体"/>
          <w:sz w:val="24"/>
          <w:szCs w:val="21"/>
        </w:rPr>
        <w:t xml:space="preserve"> </w:t>
      </w:r>
      <w:r>
        <w:rPr>
          <w:rFonts w:hint="eastAsia" w:ascii="宋体" w:hAnsi="宋体"/>
          <w:sz w:val="24"/>
          <w:szCs w:val="21"/>
          <w:u w:val="single"/>
          <w:lang w:val="en-US" w:eastAsia="zh-CN"/>
        </w:rPr>
        <w:t xml:space="preserve">              </w:t>
      </w:r>
    </w:p>
    <w:p w14:paraId="28617597">
      <w:pPr>
        <w:ind w:firstLine="420" w:firstLineChars="150"/>
        <w:rPr>
          <w:rFonts w:hint="eastAsia" w:ascii="宋体" w:hAnsi="宋体"/>
          <w:sz w:val="28"/>
          <w:szCs w:val="28"/>
        </w:rPr>
      </w:pPr>
      <w:r>
        <w:rPr>
          <w:rFonts w:hint="eastAsia" w:ascii="宋体" w:hAnsi="宋体"/>
          <w:sz w:val="28"/>
          <w:szCs w:val="28"/>
        </w:rPr>
        <w:t>授权单位名称（盖章）：</w:t>
      </w:r>
      <w:r>
        <w:rPr>
          <w:rFonts w:hint="eastAsia" w:ascii="宋体" w:hAnsi="宋体"/>
          <w:sz w:val="24"/>
          <w:szCs w:val="21"/>
          <w:u w:val="single"/>
          <w:lang w:val="en-US" w:eastAsia="zh-CN"/>
        </w:rPr>
        <w:t xml:space="preserve">              </w:t>
      </w:r>
    </w:p>
    <w:p w14:paraId="3DE8EF42">
      <w:pPr>
        <w:ind w:firstLine="420" w:firstLineChars="150"/>
        <w:rPr>
          <w:rFonts w:hint="eastAsia" w:ascii="宋体" w:hAnsi="宋体"/>
          <w:sz w:val="28"/>
          <w:szCs w:val="28"/>
        </w:rPr>
      </w:pPr>
      <w:r>
        <w:rPr>
          <w:rFonts w:hint="eastAsia" w:ascii="宋体" w:hAnsi="宋体"/>
          <w:sz w:val="28"/>
          <w:szCs w:val="28"/>
        </w:rPr>
        <w:t>授权单位法定代表人（签字或盖章）：</w:t>
      </w:r>
      <w:r>
        <w:rPr>
          <w:rFonts w:hint="eastAsia" w:ascii="宋体" w:hAnsi="宋体"/>
          <w:sz w:val="24"/>
          <w:szCs w:val="21"/>
          <w:u w:val="single"/>
          <w:lang w:val="en-US" w:eastAsia="zh-CN"/>
        </w:rPr>
        <w:t xml:space="preserve">              </w:t>
      </w:r>
    </w:p>
    <w:p w14:paraId="2C2F82CE">
      <w:pPr>
        <w:jc w:val="right"/>
        <w:rPr>
          <w:rFonts w:hint="eastAsia" w:ascii="宋体" w:hAnsi="宋体"/>
          <w:sz w:val="28"/>
          <w:szCs w:val="28"/>
        </w:rPr>
      </w:pPr>
    </w:p>
    <w:p w14:paraId="35B9EBC8">
      <w:pPr>
        <w:jc w:val="right"/>
        <w:rPr>
          <w:rFonts w:hint="eastAsia" w:ascii="宋体" w:hAnsi="宋体" w:cs="宋体"/>
          <w:sz w:val="28"/>
          <w:szCs w:val="28"/>
        </w:rPr>
      </w:pPr>
      <w:r>
        <w:rPr>
          <w:rFonts w:hint="eastAsia" w:ascii="宋体" w:hAnsi="宋体"/>
          <w:sz w:val="24"/>
          <w:szCs w:val="21"/>
          <w:u w:val="single"/>
          <w:lang w:val="en-US" w:eastAsia="zh-CN"/>
        </w:rPr>
        <w:t xml:space="preserve">     </w:t>
      </w:r>
      <w:r>
        <w:rPr>
          <w:rFonts w:hint="eastAsia" w:ascii="宋体" w:hAnsi="宋体"/>
          <w:sz w:val="28"/>
          <w:szCs w:val="28"/>
        </w:rPr>
        <w:t>年</w:t>
      </w:r>
      <w:r>
        <w:rPr>
          <w:rFonts w:hint="eastAsia" w:ascii="宋体" w:hAnsi="宋体"/>
          <w:sz w:val="24"/>
          <w:szCs w:val="21"/>
          <w:u w:val="single"/>
          <w:lang w:val="en-US" w:eastAsia="zh-CN"/>
        </w:rPr>
        <w:t xml:space="preserve">     </w:t>
      </w:r>
      <w:r>
        <w:rPr>
          <w:rFonts w:hint="eastAsia" w:ascii="宋体" w:hAnsi="宋体"/>
          <w:sz w:val="28"/>
          <w:szCs w:val="28"/>
        </w:rPr>
        <w:t>月</w:t>
      </w:r>
      <w:r>
        <w:rPr>
          <w:rFonts w:hint="eastAsia" w:ascii="宋体" w:hAnsi="宋体"/>
          <w:sz w:val="24"/>
          <w:szCs w:val="21"/>
          <w:u w:val="single"/>
          <w:lang w:val="en-US" w:eastAsia="zh-CN"/>
        </w:rPr>
        <w:t xml:space="preserve">     </w:t>
      </w:r>
      <w:r>
        <w:rPr>
          <w:rFonts w:hint="eastAsia" w:ascii="宋体" w:hAnsi="宋体"/>
          <w:sz w:val="28"/>
          <w:szCs w:val="28"/>
        </w:rPr>
        <w:t>日</w:t>
      </w:r>
    </w:p>
    <w:p w14:paraId="3897346B">
      <w:pPr>
        <w:snapToGrid w:val="0"/>
        <w:spacing w:line="400" w:lineRule="exact"/>
        <w:ind w:firstLine="537" w:firstLineChars="192"/>
        <w:contextualSpacing/>
        <w:rPr>
          <w:rFonts w:hint="eastAsia" w:ascii="宋体" w:hAnsi="宋体" w:cs="宋体"/>
          <w:b/>
          <w:kern w:val="0"/>
          <w:sz w:val="28"/>
          <w:szCs w:val="28"/>
        </w:rPr>
      </w:pPr>
    </w:p>
    <w:p w14:paraId="1BC2C1C4">
      <w:pPr>
        <w:adjustRightInd w:val="0"/>
        <w:snapToGrid w:val="0"/>
        <w:spacing w:line="312" w:lineRule="auto"/>
        <w:ind w:firstLine="560" w:firstLineChars="200"/>
        <w:jc w:val="left"/>
        <w:rPr>
          <w:rFonts w:hint="eastAsia" w:ascii="宋体" w:hAnsi="宋体" w:cs="宋体"/>
          <w:b/>
          <w:sz w:val="24"/>
        </w:rPr>
      </w:pPr>
      <w:r>
        <w:rPr>
          <w:rFonts w:hint="eastAsia" w:ascii="宋体" w:hAnsi="宋体" w:cs="宋体"/>
          <w:b/>
          <w:kern w:val="0"/>
          <w:sz w:val="28"/>
          <w:szCs w:val="28"/>
        </w:rPr>
        <w:t>附：代理人(被授权人)身份证正反面复印件盖公章</w:t>
      </w:r>
      <w:r>
        <w:rPr>
          <w:rFonts w:hint="eastAsia" w:ascii="宋体" w:hAnsi="宋体" w:cs="宋体"/>
          <w:bCs/>
          <w:sz w:val="28"/>
          <w:szCs w:val="28"/>
        </w:rPr>
        <w:br w:type="page"/>
      </w:r>
    </w:p>
    <w:p w14:paraId="19904E54">
      <w:pPr>
        <w:spacing w:line="312" w:lineRule="auto"/>
        <w:rPr>
          <w:rFonts w:hint="eastAsia" w:ascii="宋体" w:hAnsi="宋体" w:cs="宋体"/>
          <w:sz w:val="32"/>
          <w:szCs w:val="32"/>
        </w:rPr>
      </w:pPr>
      <w:r>
        <w:rPr>
          <w:rFonts w:hint="eastAsia" w:ascii="宋体" w:hAnsi="宋体" w:cs="宋体"/>
          <w:sz w:val="32"/>
          <w:szCs w:val="32"/>
        </w:rPr>
        <w:t>附件4</w:t>
      </w:r>
    </w:p>
    <w:p w14:paraId="5019A2FD">
      <w:pPr>
        <w:spacing w:before="240" w:line="312" w:lineRule="auto"/>
        <w:jc w:val="center"/>
        <w:rPr>
          <w:rFonts w:hint="eastAsia" w:ascii="宋体" w:hAnsi="宋体" w:cs="宋体"/>
          <w:b/>
          <w:sz w:val="32"/>
          <w:szCs w:val="32"/>
          <w:lang w:bidi="ar"/>
        </w:rPr>
      </w:pPr>
      <w:r>
        <w:rPr>
          <w:rFonts w:hint="eastAsia" w:ascii="宋体" w:hAnsi="宋体" w:cs="宋体"/>
          <w:b/>
          <w:sz w:val="32"/>
          <w:szCs w:val="32"/>
          <w:lang w:bidi="ar"/>
        </w:rPr>
        <w:t>供应商信用承诺书</w:t>
      </w:r>
    </w:p>
    <w:p w14:paraId="028E9FC7">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为营造公开、公平、公正的公共资源交易环境，树立诚信守法的投标（响应）人形象，本人代表本单位作出以下承诺：</w:t>
      </w:r>
    </w:p>
    <w:p w14:paraId="34943CEE">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一、本单位对所提交的单位基本信息、单位负责人、项目负责人、技术负责人、从业资质和资格、业绩、财务状况、信誉等所有资料，均合法、真实、准确、有效，无任何伪造、修改、虚假成分；</w:t>
      </w:r>
    </w:p>
    <w:p w14:paraId="35F253AD">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二、严格依照国家和省、市、县关于招标投标等方面的法律、法规、规章、规范性文件，参加公共资源交易招标投标活动；积极履行社会责任，促进廉政建设；</w:t>
      </w:r>
    </w:p>
    <w:p w14:paraId="2C80DCD4">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三、严格遵守即时信息公示规定，及时更新公共资源交易中心主体信息库中信息；</w:t>
      </w:r>
    </w:p>
    <w:p w14:paraId="66A487B5">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四、自我约束、自我管理，守合同、重信用，不参与围标串标、弄虚作假、骗取中标、干扰评标、违约毁约、恶意投诉等行为，主动维护公共资源交易招标投标的良好秩序；</w:t>
      </w:r>
    </w:p>
    <w:p w14:paraId="50F70AA9">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3060E26B">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六、自觉接受政府部门、行业组织、社会公众、新闻舆论等监督；</w:t>
      </w:r>
    </w:p>
    <w:p w14:paraId="0FDAE15D">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七、上述承诺已向本单位员工作了宣传教育；</w:t>
      </w:r>
    </w:p>
    <w:p w14:paraId="5B0472FE">
      <w:pPr>
        <w:spacing w:line="360" w:lineRule="auto"/>
        <w:ind w:firstLine="480" w:firstLineChars="200"/>
        <w:rPr>
          <w:rFonts w:hint="eastAsia" w:ascii="宋体" w:hAnsi="宋体" w:cs="宋体"/>
          <w:b/>
          <w:kern w:val="0"/>
          <w:sz w:val="24"/>
          <w:lang w:val="zh-CN"/>
        </w:rPr>
      </w:pPr>
      <w:r>
        <w:rPr>
          <w:rFonts w:hint="eastAsia" w:ascii="宋体" w:hAnsi="宋体" w:cs="宋体"/>
          <w:b/>
          <w:kern w:val="0"/>
          <w:sz w:val="24"/>
          <w:lang w:val="zh-CN" w:bidi="ar"/>
        </w:rPr>
        <w:t>如有违反上述承诺的不良行为，本单位同意将其予以上网公示。</w:t>
      </w:r>
    </w:p>
    <w:p w14:paraId="54BC5BAE">
      <w:pPr>
        <w:spacing w:line="360" w:lineRule="auto"/>
        <w:rPr>
          <w:rFonts w:hint="eastAsia" w:ascii="宋体" w:hAnsi="宋体" w:cs="宋体"/>
          <w:kern w:val="0"/>
          <w:sz w:val="24"/>
          <w:lang w:val="zh-CN"/>
        </w:rPr>
      </w:pPr>
    </w:p>
    <w:p w14:paraId="59160125">
      <w:pPr>
        <w:spacing w:line="360" w:lineRule="auto"/>
        <w:ind w:firstLine="4560" w:firstLineChars="1900"/>
        <w:rPr>
          <w:rFonts w:hint="eastAsia" w:ascii="宋体" w:hAnsi="宋体" w:cs="宋体"/>
          <w:kern w:val="0"/>
          <w:sz w:val="24"/>
          <w:lang w:val="zh-CN"/>
        </w:rPr>
      </w:pPr>
    </w:p>
    <w:p w14:paraId="3C36C79A">
      <w:pPr>
        <w:spacing w:line="360" w:lineRule="auto"/>
        <w:ind w:firstLine="4080" w:firstLineChars="1700"/>
        <w:rPr>
          <w:rFonts w:hint="eastAsia" w:ascii="宋体" w:hAnsi="宋体" w:cs="宋体"/>
          <w:kern w:val="0"/>
          <w:sz w:val="24"/>
          <w:lang w:val="zh-CN" w:bidi="ar"/>
        </w:rPr>
      </w:pPr>
      <w:r>
        <w:rPr>
          <w:rFonts w:hint="eastAsia" w:ascii="宋体" w:hAnsi="宋体" w:cs="宋体"/>
          <w:kern w:val="0"/>
          <w:sz w:val="24"/>
          <w:lang w:val="zh-CN" w:bidi="ar"/>
        </w:rPr>
        <w:t>响应供应商全称(盖公章)：</w:t>
      </w:r>
    </w:p>
    <w:p w14:paraId="1C942CA6">
      <w:pPr>
        <w:spacing w:line="360" w:lineRule="auto"/>
        <w:ind w:firstLine="4080" w:firstLineChars="1700"/>
        <w:rPr>
          <w:rFonts w:hint="eastAsia" w:ascii="宋体" w:hAnsi="宋体" w:cs="宋体"/>
          <w:kern w:val="0"/>
          <w:sz w:val="24"/>
          <w:lang w:val="zh-CN" w:bidi="ar"/>
        </w:rPr>
      </w:pPr>
      <w:r>
        <w:rPr>
          <w:rFonts w:hint="eastAsia" w:ascii="宋体" w:hAnsi="宋体" w:cs="宋体"/>
          <w:kern w:val="0"/>
          <w:sz w:val="24"/>
          <w:lang w:val="zh-CN" w:bidi="ar"/>
        </w:rPr>
        <w:t>法定代表人（签字或盖章）：</w:t>
      </w:r>
    </w:p>
    <w:p w14:paraId="7B819DA4">
      <w:pPr>
        <w:spacing w:line="360" w:lineRule="auto"/>
        <w:ind w:firstLine="4080" w:firstLineChars="1700"/>
        <w:rPr>
          <w:rFonts w:hint="eastAsia" w:ascii="宋体" w:hAnsi="宋体" w:cs="宋体"/>
          <w:kern w:val="0"/>
          <w:sz w:val="24"/>
          <w:lang w:val="zh-CN" w:bidi="ar"/>
        </w:rPr>
      </w:pPr>
      <w:r>
        <w:rPr>
          <w:rFonts w:hint="eastAsia" w:ascii="宋体" w:hAnsi="宋体" w:cs="宋体"/>
          <w:kern w:val="0"/>
          <w:sz w:val="24"/>
          <w:lang w:val="zh-CN" w:bidi="ar"/>
        </w:rPr>
        <w:t>时间：  年  月   日</w:t>
      </w:r>
    </w:p>
    <w:p w14:paraId="36898567">
      <w:pPr>
        <w:spacing w:line="360" w:lineRule="auto"/>
        <w:ind w:firstLine="3080" w:firstLineChars="1100"/>
        <w:rPr>
          <w:rFonts w:hint="eastAsia" w:ascii="宋体" w:hAnsi="宋体" w:cs="宋体"/>
          <w:kern w:val="0"/>
          <w:sz w:val="28"/>
          <w:szCs w:val="28"/>
          <w:lang w:val="zh-CN"/>
        </w:rPr>
      </w:pPr>
    </w:p>
    <w:p w14:paraId="54CF9EC0">
      <w:pPr>
        <w:rPr>
          <w:rFonts w:hint="eastAsia" w:ascii="宋体" w:hAnsi="宋体" w:cs="宋体"/>
          <w:sz w:val="32"/>
          <w:szCs w:val="32"/>
        </w:rPr>
      </w:pPr>
      <w:r>
        <w:rPr>
          <w:rFonts w:hint="eastAsia" w:ascii="宋体" w:hAnsi="宋体" w:cs="宋体"/>
          <w:sz w:val="32"/>
          <w:szCs w:val="32"/>
        </w:rPr>
        <w:br w:type="page"/>
      </w:r>
      <w:r>
        <w:rPr>
          <w:rFonts w:hint="eastAsia" w:ascii="宋体" w:hAnsi="宋体" w:cs="宋体"/>
          <w:sz w:val="32"/>
          <w:szCs w:val="32"/>
        </w:rPr>
        <w:t>附件5</w:t>
      </w:r>
    </w:p>
    <w:p w14:paraId="3C0A1FE4">
      <w:pPr>
        <w:spacing w:line="560" w:lineRule="exact"/>
        <w:jc w:val="center"/>
        <w:rPr>
          <w:rFonts w:hint="eastAsia" w:ascii="宋体" w:hAnsi="宋体" w:cs="宋体"/>
          <w:sz w:val="28"/>
          <w:szCs w:val="28"/>
        </w:rPr>
      </w:pPr>
      <w:r>
        <w:rPr>
          <w:rFonts w:hint="eastAsia" w:ascii="宋体" w:hAnsi="宋体" w:cs="宋体"/>
          <w:b/>
          <w:sz w:val="28"/>
          <w:szCs w:val="28"/>
        </w:rPr>
        <w:t>质 保 承 诺 书</w:t>
      </w:r>
    </w:p>
    <w:p w14:paraId="6B763622">
      <w:pPr>
        <w:spacing w:line="360" w:lineRule="auto"/>
        <w:rPr>
          <w:rFonts w:hint="eastAsia" w:ascii="宋体" w:hAnsi="宋体" w:cs="宋体"/>
          <w:sz w:val="24"/>
        </w:rPr>
      </w:pPr>
      <w:r>
        <w:rPr>
          <w:rFonts w:hint="eastAsia" w:ascii="宋体" w:hAnsi="宋体" w:cs="宋体"/>
          <w:sz w:val="24"/>
        </w:rPr>
        <w:t>启东市总工会：</w:t>
      </w:r>
    </w:p>
    <w:p w14:paraId="31079B0E">
      <w:pPr>
        <w:spacing w:line="360" w:lineRule="auto"/>
        <w:ind w:firstLine="480" w:firstLineChars="200"/>
        <w:rPr>
          <w:rFonts w:hint="eastAsia" w:ascii="宋体" w:hAnsi="宋体" w:cs="宋体"/>
          <w:sz w:val="24"/>
        </w:rPr>
      </w:pPr>
      <w:r>
        <w:rPr>
          <w:rFonts w:hint="eastAsia" w:ascii="宋体" w:hAnsi="宋体" w:cs="宋体"/>
          <w:sz w:val="24"/>
          <w:u w:val="single"/>
        </w:rPr>
        <w:t>（报价供应商全称）</w:t>
      </w:r>
      <w:r>
        <w:rPr>
          <w:rFonts w:hint="eastAsia" w:ascii="宋体" w:hAnsi="宋体" w:cs="宋体"/>
          <w:sz w:val="24"/>
        </w:rPr>
        <w:t>授权</w:t>
      </w:r>
      <w:r>
        <w:rPr>
          <w:rFonts w:hint="eastAsia" w:ascii="宋体" w:hAnsi="宋体" w:cs="宋体"/>
          <w:sz w:val="24"/>
          <w:u w:val="single"/>
        </w:rPr>
        <w:t>（姓  名）（职  务）</w:t>
      </w:r>
      <w:r>
        <w:rPr>
          <w:rFonts w:hint="eastAsia" w:ascii="宋体" w:hAnsi="宋体" w:cs="宋体"/>
          <w:sz w:val="24"/>
        </w:rPr>
        <w:t>为全权代表，参加</w:t>
      </w:r>
      <w:r>
        <w:rPr>
          <w:rFonts w:hint="eastAsia" w:ascii="宋体" w:hAnsi="宋体" w:cs="宋体"/>
          <w:b/>
          <w:bCs/>
          <w:sz w:val="24"/>
          <w:u w:val="single"/>
        </w:rPr>
        <w:t>启东市工人电影院影厅设备采购及安装项目</w:t>
      </w:r>
      <w:r>
        <w:rPr>
          <w:rFonts w:hint="eastAsia" w:ascii="宋体" w:hAnsi="宋体" w:cs="宋体"/>
          <w:sz w:val="24"/>
        </w:rPr>
        <w:t>询价的有关活动，并宣布同意如下：</w:t>
      </w:r>
    </w:p>
    <w:p w14:paraId="0BD446B9">
      <w:pPr>
        <w:spacing w:line="360" w:lineRule="auto"/>
        <w:ind w:firstLine="480" w:firstLineChars="200"/>
        <w:rPr>
          <w:rFonts w:hint="eastAsia" w:ascii="宋体" w:hAnsi="宋体" w:cs="宋体"/>
          <w:sz w:val="24"/>
        </w:rPr>
      </w:pPr>
      <w:r>
        <w:rPr>
          <w:rFonts w:hint="eastAsia" w:ascii="宋体" w:hAnsi="宋体" w:cs="宋体"/>
          <w:sz w:val="24"/>
        </w:rPr>
        <w:t>1、我方承诺本项目整体质保</w:t>
      </w:r>
      <w:r>
        <w:rPr>
          <w:rFonts w:hint="eastAsia" w:ascii="宋体" w:hAnsi="宋体" w:cs="宋体"/>
          <w:sz w:val="24"/>
          <w:u w:val="single"/>
        </w:rPr>
        <w:t xml:space="preserve">    </w:t>
      </w:r>
      <w:r>
        <w:rPr>
          <w:rFonts w:hint="eastAsia" w:ascii="宋体" w:hAnsi="宋体" w:cs="宋体"/>
          <w:sz w:val="24"/>
        </w:rPr>
        <w:t>年（所有货物质保时间为自验收合格之日起计；货物原厂质保期高于供应商承诺质保期的，按原厂质保期计算）。</w:t>
      </w:r>
    </w:p>
    <w:p w14:paraId="69A9EA7E">
      <w:pPr>
        <w:spacing w:line="360" w:lineRule="auto"/>
        <w:ind w:firstLine="480" w:firstLineChars="200"/>
        <w:rPr>
          <w:rFonts w:hint="eastAsia" w:ascii="宋体" w:hAnsi="宋体" w:cs="宋体"/>
          <w:sz w:val="24"/>
        </w:rPr>
      </w:pPr>
      <w:r>
        <w:rPr>
          <w:rFonts w:hint="eastAsia" w:ascii="宋体" w:hAnsi="宋体" w:cs="宋体"/>
          <w:sz w:val="24"/>
        </w:rPr>
        <w:t>2、售后服务要求：在质保期内，同一商品、同一质量问题连续两次维修仍无法正常使用，我方无条件给予全套更新或退货。在免费质保期内，我方在接到用户单位电话通知后，在1小时之内上门服务，并在4小时内负责修复。如需更换货物或送修，在12小时内提供备用货物，并在7个工作日内负责对送修货物维修完毕并送至用户单位处。</w:t>
      </w:r>
    </w:p>
    <w:p w14:paraId="3695C1F6">
      <w:pPr>
        <w:spacing w:line="360" w:lineRule="auto"/>
        <w:ind w:firstLine="480" w:firstLineChars="200"/>
        <w:rPr>
          <w:rFonts w:hint="eastAsia" w:ascii="宋体" w:hAnsi="宋体" w:cs="宋体"/>
          <w:sz w:val="24"/>
        </w:rPr>
      </w:pPr>
      <w:r>
        <w:rPr>
          <w:rFonts w:hint="eastAsia" w:ascii="宋体" w:hAnsi="宋体" w:cs="宋体"/>
          <w:sz w:val="24"/>
        </w:rPr>
        <w:t>3.在交货时我方将提供产品的合格证和产品说明书。</w:t>
      </w:r>
    </w:p>
    <w:p w14:paraId="2A3EBA35">
      <w:pPr>
        <w:spacing w:line="360" w:lineRule="auto"/>
        <w:ind w:firstLine="480" w:firstLineChars="200"/>
        <w:rPr>
          <w:rFonts w:hint="eastAsia" w:ascii="宋体" w:hAnsi="宋体" w:cs="宋体"/>
          <w:sz w:val="24"/>
        </w:rPr>
      </w:pPr>
      <w:r>
        <w:rPr>
          <w:rFonts w:hint="eastAsia" w:ascii="宋体" w:hAnsi="宋体" w:cs="宋体"/>
          <w:sz w:val="24"/>
        </w:rPr>
        <w:t>4.与本项目有关的一切往来通讯请寄：</w:t>
      </w:r>
    </w:p>
    <w:p w14:paraId="437A53CD">
      <w:pPr>
        <w:spacing w:line="360" w:lineRule="auto"/>
        <w:ind w:firstLine="480" w:firstLineChars="200"/>
        <w:rPr>
          <w:rFonts w:hint="eastAsia" w:ascii="宋体" w:hAnsi="宋体" w:cs="宋体"/>
          <w:sz w:val="24"/>
        </w:rPr>
      </w:pPr>
      <w:r>
        <w:rPr>
          <w:rFonts w:hint="eastAsia" w:ascii="宋体" w:hAnsi="宋体" w:cs="宋体"/>
          <w:sz w:val="24"/>
        </w:rPr>
        <w:t>地址：</w:t>
      </w:r>
      <w:r>
        <w:rPr>
          <w:rFonts w:hint="eastAsia" w:ascii="宋体" w:hAnsi="宋体" w:cs="宋体"/>
          <w:sz w:val="24"/>
          <w:u w:val="single"/>
        </w:rPr>
        <w:t>　　　　　　　　　</w:t>
      </w:r>
      <w:r>
        <w:rPr>
          <w:rFonts w:hint="eastAsia" w:ascii="宋体" w:hAnsi="宋体" w:cs="宋体"/>
          <w:sz w:val="24"/>
        </w:rPr>
        <w:t>　邮编：</w:t>
      </w:r>
      <w:r>
        <w:rPr>
          <w:rFonts w:hint="eastAsia" w:ascii="宋体" w:hAnsi="宋体" w:cs="宋体"/>
          <w:sz w:val="24"/>
          <w:u w:val="single"/>
        </w:rPr>
        <w:t>　　　　　　　　　</w:t>
      </w:r>
    </w:p>
    <w:p w14:paraId="46EDC36D">
      <w:pPr>
        <w:spacing w:line="360" w:lineRule="auto"/>
        <w:ind w:firstLine="480" w:firstLineChars="200"/>
        <w:rPr>
          <w:rFonts w:hint="eastAsia" w:ascii="宋体" w:hAnsi="宋体" w:cs="宋体"/>
          <w:sz w:val="24"/>
        </w:rPr>
      </w:pPr>
      <w:r>
        <w:rPr>
          <w:rFonts w:hint="eastAsia" w:ascii="宋体" w:hAnsi="宋体" w:cs="宋体"/>
          <w:sz w:val="24"/>
        </w:rPr>
        <w:t>电话：</w:t>
      </w:r>
      <w:r>
        <w:rPr>
          <w:rFonts w:hint="eastAsia" w:ascii="宋体" w:hAnsi="宋体" w:cs="宋体"/>
          <w:sz w:val="24"/>
          <w:u w:val="single"/>
        </w:rPr>
        <w:t>　　　　　　　　　</w:t>
      </w:r>
      <w:r>
        <w:rPr>
          <w:rFonts w:hint="eastAsia" w:ascii="宋体" w:hAnsi="宋体" w:cs="宋体"/>
          <w:sz w:val="24"/>
        </w:rPr>
        <w:t>　传真：</w:t>
      </w:r>
      <w:r>
        <w:rPr>
          <w:rFonts w:hint="eastAsia" w:ascii="宋体" w:hAnsi="宋体" w:cs="宋体"/>
          <w:sz w:val="24"/>
          <w:u w:val="single"/>
        </w:rPr>
        <w:t>　　　　　　　　　</w:t>
      </w:r>
    </w:p>
    <w:p w14:paraId="2A6F1247">
      <w:pPr>
        <w:spacing w:line="360" w:lineRule="auto"/>
        <w:ind w:firstLine="480" w:firstLineChars="200"/>
        <w:rPr>
          <w:rFonts w:hint="eastAsia" w:ascii="宋体" w:hAnsi="宋体" w:cs="宋体"/>
          <w:sz w:val="24"/>
        </w:rPr>
      </w:pPr>
      <w:r>
        <w:rPr>
          <w:rFonts w:hint="eastAsia" w:ascii="宋体" w:hAnsi="宋体" w:cs="宋体"/>
          <w:sz w:val="24"/>
        </w:rPr>
        <w:t>报价单位代表：</w:t>
      </w:r>
      <w:r>
        <w:rPr>
          <w:rFonts w:hint="eastAsia" w:ascii="宋体" w:hAnsi="宋体" w:cs="宋体"/>
          <w:sz w:val="24"/>
          <w:u w:val="single"/>
        </w:rPr>
        <w:t>　　　　　　　　　</w:t>
      </w:r>
      <w:r>
        <w:rPr>
          <w:rFonts w:hint="eastAsia" w:ascii="宋体" w:hAnsi="宋体" w:cs="宋体"/>
          <w:sz w:val="24"/>
        </w:rPr>
        <w:t>　职务：</w:t>
      </w:r>
      <w:r>
        <w:rPr>
          <w:rFonts w:hint="eastAsia" w:ascii="宋体" w:hAnsi="宋体" w:cs="宋体"/>
          <w:sz w:val="24"/>
          <w:u w:val="single"/>
        </w:rPr>
        <w:t>　　　　　　　　　</w:t>
      </w:r>
    </w:p>
    <w:p w14:paraId="021CF3EE">
      <w:pPr>
        <w:spacing w:line="360" w:lineRule="auto"/>
        <w:ind w:firstLine="480" w:firstLineChars="200"/>
        <w:rPr>
          <w:rFonts w:hint="eastAsia" w:ascii="宋体" w:hAnsi="宋体" w:cs="宋体"/>
          <w:sz w:val="24"/>
        </w:rPr>
      </w:pPr>
      <w:r>
        <w:rPr>
          <w:rFonts w:hint="eastAsia" w:ascii="宋体" w:hAnsi="宋体" w:cs="宋体"/>
          <w:sz w:val="24"/>
        </w:rPr>
        <w:t>报价单位代表移动电话：</w:t>
      </w:r>
      <w:r>
        <w:rPr>
          <w:rFonts w:hint="eastAsia" w:ascii="宋体" w:hAnsi="宋体" w:cs="宋体"/>
          <w:sz w:val="24"/>
          <w:u w:val="single"/>
        </w:rPr>
        <w:t>　　　　　　　　　</w:t>
      </w:r>
    </w:p>
    <w:p w14:paraId="2BC6A58A">
      <w:pPr>
        <w:spacing w:line="360" w:lineRule="auto"/>
        <w:ind w:firstLine="480" w:firstLineChars="200"/>
        <w:rPr>
          <w:rFonts w:hint="eastAsia" w:ascii="宋体" w:hAnsi="宋体" w:cs="宋体"/>
          <w:sz w:val="24"/>
          <w:u w:val="single"/>
        </w:rPr>
      </w:pPr>
      <w:r>
        <w:rPr>
          <w:rFonts w:hint="eastAsia" w:ascii="宋体" w:hAnsi="宋体" w:cs="宋体"/>
          <w:kern w:val="0"/>
          <w:sz w:val="24"/>
        </w:rPr>
        <w:t>报价单位</w:t>
      </w:r>
      <w:r>
        <w:rPr>
          <w:rFonts w:hint="eastAsia" w:ascii="宋体" w:hAnsi="宋体" w:cs="宋体"/>
          <w:sz w:val="24"/>
        </w:rPr>
        <w:t>（加盖单位公章）：</w:t>
      </w:r>
      <w:r>
        <w:rPr>
          <w:rFonts w:hint="eastAsia" w:ascii="宋体" w:hAnsi="宋体" w:cs="宋体"/>
          <w:sz w:val="24"/>
          <w:u w:val="single"/>
        </w:rPr>
        <w:t>　　　　　　　　　</w:t>
      </w:r>
    </w:p>
    <w:p w14:paraId="7EC95BD3">
      <w:pPr>
        <w:spacing w:line="360" w:lineRule="auto"/>
        <w:ind w:firstLine="480" w:firstLineChars="200"/>
        <w:rPr>
          <w:sz w:val="24"/>
        </w:rPr>
      </w:pPr>
      <w:r>
        <w:rPr>
          <w:rFonts w:hint="eastAsia"/>
          <w:sz w:val="24"/>
        </w:rPr>
        <w:t xml:space="preserve">                                        年    月    日</w:t>
      </w:r>
    </w:p>
    <w:p w14:paraId="0DD4A371">
      <w:pPr>
        <w:rPr>
          <w:rFonts w:hint="eastAsia" w:ascii="宋体" w:hAnsi="宋体" w:cs="宋体"/>
          <w:sz w:val="32"/>
          <w:szCs w:val="32"/>
        </w:rPr>
      </w:pPr>
    </w:p>
    <w:p w14:paraId="318EEE35">
      <w:pPr>
        <w:rPr>
          <w:rFonts w:hint="eastAsia" w:ascii="宋体" w:hAnsi="宋体" w:cs="宋体"/>
          <w:sz w:val="32"/>
          <w:szCs w:val="32"/>
        </w:rPr>
        <w:sectPr>
          <w:pgSz w:w="11915" w:h="16840"/>
          <w:pgMar w:top="1440" w:right="1757" w:bottom="1440" w:left="1757" w:header="851" w:footer="850" w:gutter="0"/>
          <w:cols w:space="720" w:num="1"/>
          <w:docGrid w:type="linesAndChars" w:linePitch="312" w:charSpace="0"/>
        </w:sectPr>
      </w:pPr>
    </w:p>
    <w:p w14:paraId="53553E05">
      <w:pPr>
        <w:rPr>
          <w:rFonts w:hint="eastAsia" w:ascii="宋体" w:hAnsi="宋体" w:cs="宋体"/>
          <w:sz w:val="32"/>
          <w:szCs w:val="32"/>
        </w:rPr>
      </w:pPr>
      <w:r>
        <w:rPr>
          <w:rFonts w:hint="eastAsia" w:ascii="宋体" w:hAnsi="宋体" w:cs="宋体"/>
          <w:sz w:val="32"/>
          <w:szCs w:val="32"/>
        </w:rPr>
        <w:t>附件6</w:t>
      </w:r>
    </w:p>
    <w:p w14:paraId="08392CB2">
      <w:pPr>
        <w:jc w:val="center"/>
        <w:rPr>
          <w:rFonts w:hint="eastAsia" w:ascii="宋体" w:hAnsi="宋体"/>
          <w:b/>
          <w:sz w:val="32"/>
          <w:szCs w:val="32"/>
        </w:rPr>
      </w:pPr>
      <w:r>
        <w:rPr>
          <w:rFonts w:hint="eastAsia" w:ascii="宋体" w:hAnsi="宋体"/>
          <w:b/>
          <w:sz w:val="32"/>
          <w:szCs w:val="32"/>
        </w:rPr>
        <w:t>询价响应函</w:t>
      </w:r>
    </w:p>
    <w:p w14:paraId="14746B34">
      <w:pPr>
        <w:adjustRightInd w:val="0"/>
        <w:spacing w:line="420" w:lineRule="exact"/>
        <w:jc w:val="left"/>
        <w:textAlignment w:val="baseline"/>
        <w:rPr>
          <w:rFonts w:hint="eastAsia" w:ascii="宋体" w:hAnsi="宋体"/>
          <w:sz w:val="24"/>
          <w:szCs w:val="21"/>
        </w:rPr>
      </w:pPr>
      <w:r>
        <w:rPr>
          <w:rFonts w:hint="eastAsia" w:ascii="宋体" w:hAnsi="宋体"/>
          <w:sz w:val="24"/>
          <w:szCs w:val="21"/>
        </w:rPr>
        <w:t>致：</w:t>
      </w:r>
      <w:r>
        <w:rPr>
          <w:rFonts w:hint="eastAsia" w:ascii="宋体" w:hAnsi="宋体"/>
          <w:sz w:val="24"/>
          <w:szCs w:val="21"/>
          <w:u w:val="single"/>
          <w:lang w:val="en-US" w:eastAsia="zh-CN"/>
        </w:rPr>
        <w:t xml:space="preserve">              </w:t>
      </w:r>
      <w:r>
        <w:rPr>
          <w:rFonts w:hint="eastAsia" w:ascii="宋体" w:hAnsi="宋体"/>
          <w:sz w:val="24"/>
          <w:szCs w:val="21"/>
        </w:rPr>
        <w:t>（采购人名称）</w:t>
      </w:r>
    </w:p>
    <w:p w14:paraId="0D9CCC3D">
      <w:pPr>
        <w:adjustRightInd w:val="0"/>
        <w:spacing w:line="420" w:lineRule="exact"/>
        <w:ind w:firstLine="480" w:firstLineChars="200"/>
        <w:jc w:val="left"/>
        <w:textAlignment w:val="baseline"/>
        <w:rPr>
          <w:rFonts w:ascii="宋体" w:hAnsi="宋体"/>
          <w:sz w:val="24"/>
          <w:szCs w:val="21"/>
        </w:rPr>
      </w:pPr>
      <w:r>
        <w:rPr>
          <w:rFonts w:hint="eastAsia" w:ascii="宋体" w:hAnsi="宋体"/>
          <w:sz w:val="24"/>
          <w:szCs w:val="21"/>
        </w:rPr>
        <w:t>根据贵方</w:t>
      </w:r>
      <w:r>
        <w:rPr>
          <w:rFonts w:ascii="宋体" w:hAnsi="宋体"/>
          <w:sz w:val="24"/>
          <w:szCs w:val="21"/>
        </w:rPr>
        <w:t>项目编号</w:t>
      </w:r>
      <w:r>
        <w:rPr>
          <w:rFonts w:hint="eastAsia" w:ascii="宋体" w:hAnsi="宋体"/>
          <w:sz w:val="24"/>
          <w:szCs w:val="21"/>
        </w:rPr>
        <w:t>为</w:t>
      </w:r>
      <w:r>
        <w:rPr>
          <w:rFonts w:hint="eastAsia" w:ascii="宋体" w:hAnsi="宋体"/>
          <w:sz w:val="24"/>
          <w:szCs w:val="21"/>
          <w:u w:val="single"/>
        </w:rPr>
        <w:t>JSZC-320681-SHXP-X2025-0027启东市工人电影院影厅设备采购及安装项目</w:t>
      </w:r>
      <w:r>
        <w:rPr>
          <w:rFonts w:hint="eastAsia" w:ascii="宋体" w:hAnsi="宋体"/>
          <w:sz w:val="24"/>
          <w:szCs w:val="21"/>
        </w:rPr>
        <w:t>的询价文件，我方正式提交询价响应函，并宣布同意如下内容：</w:t>
      </w:r>
    </w:p>
    <w:p w14:paraId="13D74E89">
      <w:pPr>
        <w:adjustRightInd w:val="0"/>
        <w:spacing w:line="420" w:lineRule="exact"/>
        <w:ind w:firstLine="480"/>
        <w:jc w:val="left"/>
        <w:textAlignment w:val="baseline"/>
        <w:rPr>
          <w:rFonts w:ascii="宋体" w:hAnsi="宋体"/>
          <w:sz w:val="24"/>
          <w:szCs w:val="21"/>
        </w:rPr>
      </w:pPr>
      <w:r>
        <w:rPr>
          <w:rFonts w:hint="eastAsia" w:ascii="宋体" w:hAnsi="宋体"/>
          <w:sz w:val="24"/>
          <w:szCs w:val="21"/>
        </w:rPr>
        <w:t>1.按询价文件规定的各项要求，向买方提供所需货物、服务（包含与货物相关的服务及与服务相关的货物）。</w:t>
      </w:r>
    </w:p>
    <w:p w14:paraId="45ECAA32">
      <w:pPr>
        <w:adjustRightInd w:val="0"/>
        <w:spacing w:line="420" w:lineRule="exact"/>
        <w:ind w:firstLine="480" w:firstLineChars="200"/>
        <w:jc w:val="left"/>
        <w:textAlignment w:val="baseline"/>
        <w:rPr>
          <w:rFonts w:ascii="宋体" w:hAnsi="宋体"/>
          <w:sz w:val="24"/>
          <w:szCs w:val="21"/>
        </w:rPr>
      </w:pPr>
      <w:r>
        <w:rPr>
          <w:rFonts w:ascii="宋体" w:hAnsi="宋体"/>
          <w:sz w:val="24"/>
          <w:szCs w:val="21"/>
        </w:rPr>
        <w:t>2</w:t>
      </w:r>
      <w:r>
        <w:rPr>
          <w:rFonts w:hint="eastAsia" w:ascii="宋体" w:hAnsi="宋体"/>
          <w:sz w:val="24"/>
          <w:szCs w:val="21"/>
        </w:rPr>
        <w:t>.我们已详细审核全部询价文件及其有效补充文件，我们知道必须放弃提出含糊不清或误解问题的权利。</w:t>
      </w:r>
    </w:p>
    <w:p w14:paraId="234A247F">
      <w:pPr>
        <w:adjustRightInd w:val="0"/>
        <w:spacing w:line="420" w:lineRule="exact"/>
        <w:ind w:firstLine="480"/>
        <w:jc w:val="left"/>
        <w:textAlignment w:val="baseline"/>
        <w:rPr>
          <w:rFonts w:ascii="宋体" w:hAnsi="宋体"/>
          <w:sz w:val="24"/>
          <w:szCs w:val="21"/>
        </w:rPr>
      </w:pPr>
      <w:r>
        <w:rPr>
          <w:rFonts w:ascii="宋体" w:hAnsi="宋体"/>
          <w:sz w:val="24"/>
          <w:szCs w:val="21"/>
        </w:rPr>
        <w:t>3</w:t>
      </w:r>
      <w:r>
        <w:rPr>
          <w:rFonts w:hint="eastAsia" w:ascii="宋体" w:hAnsi="宋体"/>
          <w:sz w:val="24"/>
          <w:szCs w:val="21"/>
        </w:rPr>
        <w:t>.我们同意从规定的开标日期起遵循本响应文件，并在规定的询价有效期期满之前均具有约束力。</w:t>
      </w:r>
    </w:p>
    <w:p w14:paraId="6E66D7ED">
      <w:pPr>
        <w:adjustRightInd w:val="0"/>
        <w:spacing w:line="420" w:lineRule="exact"/>
        <w:ind w:firstLine="480"/>
        <w:jc w:val="left"/>
        <w:textAlignment w:val="baseline"/>
        <w:rPr>
          <w:rFonts w:ascii="宋体" w:hAnsi="宋体"/>
          <w:sz w:val="24"/>
          <w:szCs w:val="21"/>
        </w:rPr>
      </w:pPr>
      <w:r>
        <w:rPr>
          <w:rFonts w:ascii="宋体" w:hAnsi="宋体"/>
          <w:sz w:val="24"/>
          <w:szCs w:val="21"/>
        </w:rPr>
        <w:t>4</w:t>
      </w:r>
      <w:r>
        <w:rPr>
          <w:rFonts w:hint="eastAsia" w:ascii="宋体" w:hAnsi="宋体"/>
          <w:sz w:val="24"/>
          <w:szCs w:val="21"/>
        </w:rPr>
        <w:t>.同意向贵方提供贵方可能另外要求的与询价有关的任何证据或资料，并保证我方已提供和将要提供的文件是真实的、准确的。</w:t>
      </w:r>
    </w:p>
    <w:p w14:paraId="7A769D59">
      <w:pPr>
        <w:adjustRightInd w:val="0"/>
        <w:spacing w:line="420" w:lineRule="exact"/>
        <w:ind w:firstLine="480"/>
        <w:jc w:val="left"/>
        <w:textAlignment w:val="baseline"/>
        <w:rPr>
          <w:rFonts w:ascii="宋体" w:hAnsi="宋体"/>
          <w:sz w:val="24"/>
          <w:szCs w:val="21"/>
        </w:rPr>
      </w:pPr>
      <w:r>
        <w:rPr>
          <w:rFonts w:ascii="宋体" w:hAnsi="宋体"/>
          <w:sz w:val="24"/>
          <w:szCs w:val="21"/>
        </w:rPr>
        <w:t>5</w:t>
      </w:r>
      <w:r>
        <w:rPr>
          <w:rFonts w:hint="eastAsia" w:ascii="宋体" w:hAnsi="宋体"/>
          <w:sz w:val="24"/>
          <w:szCs w:val="21"/>
        </w:rPr>
        <w:t>.一旦我方成交,我方将根据询价文件的规定，严格履行合同的责任和义务,并保证在询价文件规定的时间完成项目，交付买方验收、使用。</w:t>
      </w:r>
    </w:p>
    <w:p w14:paraId="337F6215">
      <w:pPr>
        <w:adjustRightInd w:val="0"/>
        <w:spacing w:line="420" w:lineRule="exact"/>
        <w:ind w:left="425"/>
        <w:jc w:val="left"/>
        <w:textAlignment w:val="baseline"/>
        <w:rPr>
          <w:rFonts w:ascii="宋体" w:hAnsi="宋体"/>
          <w:sz w:val="24"/>
          <w:szCs w:val="21"/>
        </w:rPr>
      </w:pPr>
      <w:r>
        <w:rPr>
          <w:rFonts w:ascii="宋体" w:hAnsi="宋体"/>
          <w:sz w:val="24"/>
          <w:szCs w:val="21"/>
        </w:rPr>
        <w:t>6</w:t>
      </w:r>
      <w:r>
        <w:rPr>
          <w:rFonts w:hint="eastAsia" w:ascii="宋体" w:hAnsi="宋体"/>
          <w:sz w:val="24"/>
          <w:szCs w:val="21"/>
        </w:rPr>
        <w:t>.我方与本询价有关的正式通讯地址为：</w:t>
      </w:r>
    </w:p>
    <w:p w14:paraId="38E2981F">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地          址：</w:t>
      </w:r>
    </w:p>
    <w:p w14:paraId="67F2A497">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邮          编：</w:t>
      </w:r>
    </w:p>
    <w:p w14:paraId="62A1320F">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电          话：</w:t>
      </w:r>
    </w:p>
    <w:p w14:paraId="73E76D0A">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箱：</w:t>
      </w:r>
    </w:p>
    <w:p w14:paraId="17AEFF6A">
      <w:pPr>
        <w:pStyle w:val="2"/>
      </w:pPr>
    </w:p>
    <w:p w14:paraId="40335802"/>
    <w:p w14:paraId="431CF6A6">
      <w:pPr>
        <w:spacing w:line="560" w:lineRule="exact"/>
        <w:ind w:right="180" w:firstLine="960" w:firstLineChars="400"/>
        <w:rPr>
          <w:rFonts w:ascii="宋体" w:hAnsi="宋体"/>
          <w:color w:val="000000"/>
          <w:sz w:val="24"/>
        </w:rPr>
      </w:pPr>
      <w:r>
        <w:rPr>
          <w:rFonts w:hint="eastAsia" w:ascii="宋体" w:hAnsi="宋体"/>
          <w:color w:val="000000"/>
          <w:sz w:val="24"/>
        </w:rPr>
        <w:t>供应商名称（盖公章）：</w:t>
      </w:r>
    </w:p>
    <w:p w14:paraId="5CF799C6">
      <w:pPr>
        <w:adjustRightInd w:val="0"/>
        <w:spacing w:line="420" w:lineRule="exact"/>
        <w:ind w:left="420" w:leftChars="200" w:firstLine="480" w:firstLineChars="200"/>
        <w:jc w:val="left"/>
        <w:textAlignment w:val="baseline"/>
        <w:rPr>
          <w:rFonts w:ascii="宋体" w:hAnsi="宋体"/>
          <w:sz w:val="24"/>
          <w:szCs w:val="21"/>
        </w:rPr>
      </w:pPr>
    </w:p>
    <w:p w14:paraId="58770AE1">
      <w:pPr>
        <w:adjustRightInd w:val="0"/>
        <w:spacing w:line="420" w:lineRule="exact"/>
        <w:ind w:left="420" w:leftChars="200" w:firstLine="480" w:firstLineChars="200"/>
        <w:jc w:val="left"/>
        <w:textAlignment w:val="baseline"/>
        <w:rPr>
          <w:rFonts w:hint="eastAsia" w:ascii="宋体" w:hAnsi="宋体"/>
          <w:sz w:val="24"/>
          <w:szCs w:val="21"/>
        </w:rPr>
      </w:pPr>
      <w:r>
        <w:rPr>
          <w:rFonts w:hint="eastAsia" w:ascii="宋体" w:hAnsi="宋体"/>
          <w:sz w:val="24"/>
          <w:szCs w:val="21"/>
        </w:rPr>
        <w:t>日          期：________年____月____日</w:t>
      </w:r>
    </w:p>
    <w:p w14:paraId="362FF89C">
      <w:pPr>
        <w:adjustRightInd w:val="0"/>
        <w:spacing w:line="420" w:lineRule="exact"/>
        <w:jc w:val="left"/>
        <w:textAlignment w:val="baseline"/>
        <w:rPr>
          <w:rFonts w:hint="eastAsia" w:ascii="宋体" w:hAnsi="宋体"/>
          <w:sz w:val="24"/>
          <w:szCs w:val="21"/>
        </w:rPr>
      </w:pPr>
    </w:p>
    <w:p w14:paraId="696140FA">
      <w:pPr>
        <w:rPr>
          <w:rFonts w:hint="eastAsia" w:ascii="宋体" w:hAnsi="宋体" w:cs="宋体"/>
          <w:b/>
          <w:sz w:val="32"/>
          <w:szCs w:val="32"/>
        </w:rPr>
      </w:pPr>
    </w:p>
    <w:p w14:paraId="53069B86">
      <w:pPr>
        <w:rPr>
          <w:rFonts w:hint="eastAsia" w:ascii="宋体" w:hAnsi="宋体" w:cs="宋体"/>
          <w:sz w:val="32"/>
          <w:szCs w:val="32"/>
        </w:rPr>
      </w:pPr>
    </w:p>
    <w:p w14:paraId="3F894251">
      <w:pPr>
        <w:rPr>
          <w:rFonts w:hint="eastAsia" w:ascii="宋体" w:hAnsi="宋体" w:cs="宋体"/>
          <w:sz w:val="32"/>
          <w:szCs w:val="32"/>
        </w:rPr>
      </w:pPr>
    </w:p>
    <w:p w14:paraId="1BD6844E">
      <w:pPr>
        <w:rPr>
          <w:rFonts w:hint="eastAsia" w:ascii="宋体" w:hAnsi="宋体" w:cs="宋体"/>
          <w:sz w:val="32"/>
          <w:szCs w:val="32"/>
        </w:rPr>
      </w:pPr>
      <w:r>
        <w:rPr>
          <w:rFonts w:hint="eastAsia" w:ascii="宋体" w:hAnsi="宋体" w:cs="宋体"/>
          <w:sz w:val="32"/>
          <w:szCs w:val="32"/>
        </w:rPr>
        <w:t>附件7</w:t>
      </w:r>
    </w:p>
    <w:p w14:paraId="0F9E642E">
      <w:pPr>
        <w:snapToGrid w:val="0"/>
        <w:spacing w:line="300" w:lineRule="auto"/>
        <w:contextualSpacing/>
        <w:jc w:val="center"/>
        <w:rPr>
          <w:rFonts w:hint="eastAsia" w:ascii="宋体" w:hAnsi="宋体" w:cs="宋体"/>
          <w:b/>
          <w:sz w:val="32"/>
          <w:szCs w:val="32"/>
        </w:rPr>
      </w:pPr>
      <w:r>
        <w:rPr>
          <w:rFonts w:hint="eastAsia" w:ascii="宋体" w:hAnsi="宋体" w:cs="宋体"/>
          <w:b/>
          <w:sz w:val="32"/>
          <w:szCs w:val="32"/>
        </w:rPr>
        <w:t>商务部分正负偏离表</w:t>
      </w:r>
    </w:p>
    <w:p w14:paraId="4A75E2E5">
      <w:pPr>
        <w:ind w:firstLine="560" w:firstLineChars="200"/>
        <w:jc w:val="center"/>
        <w:rPr>
          <w:rFonts w:hint="eastAsia" w:ascii="宋体" w:hAnsi="宋体" w:cs="宋体"/>
          <w:sz w:val="28"/>
          <w:szCs w:val="28"/>
        </w:rPr>
      </w:pPr>
      <w:r>
        <w:rPr>
          <w:rFonts w:hint="eastAsia" w:ascii="宋体" w:hAnsi="宋体" w:cs="宋体"/>
          <w:sz w:val="28"/>
          <w:szCs w:val="28"/>
        </w:rPr>
        <w:t>（由响应供应商据实填写，表格不够自行添加）</w:t>
      </w:r>
    </w:p>
    <w:tbl>
      <w:tblPr>
        <w:tblStyle w:val="1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5"/>
        <w:gridCol w:w="2807"/>
        <w:gridCol w:w="2100"/>
        <w:gridCol w:w="1158"/>
      </w:tblGrid>
      <w:tr w14:paraId="182105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278E4F26">
            <w:pPr>
              <w:spacing w:line="340" w:lineRule="exact"/>
              <w:jc w:val="center"/>
              <w:rPr>
                <w:rFonts w:hint="eastAsia" w:ascii="宋体" w:hAnsi="宋体" w:cs="宋体"/>
                <w:sz w:val="28"/>
                <w:szCs w:val="28"/>
              </w:rPr>
            </w:pPr>
            <w:r>
              <w:rPr>
                <w:rFonts w:hint="eastAsia" w:ascii="宋体" w:hAnsi="宋体" w:cs="宋体"/>
                <w:sz w:val="28"/>
                <w:szCs w:val="28"/>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197F241F">
            <w:pPr>
              <w:spacing w:line="340" w:lineRule="exact"/>
              <w:jc w:val="center"/>
              <w:rPr>
                <w:rFonts w:hint="eastAsia" w:ascii="宋体" w:hAnsi="宋体" w:cs="宋体"/>
                <w:sz w:val="28"/>
                <w:szCs w:val="28"/>
              </w:rPr>
            </w:pPr>
            <w:r>
              <w:rPr>
                <w:rFonts w:hint="eastAsia" w:ascii="宋体" w:hAnsi="宋体" w:cs="宋体"/>
                <w:sz w:val="28"/>
                <w:szCs w:val="28"/>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3D997F65">
            <w:pPr>
              <w:spacing w:line="340" w:lineRule="exact"/>
              <w:jc w:val="center"/>
              <w:rPr>
                <w:rFonts w:hint="eastAsia" w:ascii="宋体" w:hAnsi="宋体" w:cs="宋体"/>
                <w:sz w:val="28"/>
                <w:szCs w:val="28"/>
              </w:rPr>
            </w:pPr>
            <w:r>
              <w:rPr>
                <w:rFonts w:hint="eastAsia" w:ascii="宋体" w:hAnsi="宋体" w:cs="宋体"/>
                <w:sz w:val="28"/>
                <w:szCs w:val="28"/>
              </w:rPr>
              <w:t>采购文件要求的商务条款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44B92021">
            <w:pPr>
              <w:spacing w:line="340" w:lineRule="exact"/>
              <w:jc w:val="center"/>
              <w:rPr>
                <w:rFonts w:hint="eastAsia" w:ascii="宋体" w:hAnsi="宋体" w:cs="宋体"/>
                <w:sz w:val="28"/>
                <w:szCs w:val="28"/>
              </w:rPr>
            </w:pPr>
            <w:r>
              <w:rPr>
                <w:rFonts w:hint="eastAsia" w:ascii="宋体" w:hAnsi="宋体" w:cs="宋体"/>
                <w:sz w:val="28"/>
                <w:szCs w:val="28"/>
              </w:rPr>
              <w:t>响应文件响应情况</w:t>
            </w:r>
          </w:p>
        </w:tc>
        <w:tc>
          <w:tcPr>
            <w:tcW w:w="778" w:type="pct"/>
            <w:tcBorders>
              <w:top w:val="single" w:color="auto" w:sz="12" w:space="0"/>
              <w:left w:val="single" w:color="auto" w:sz="6" w:space="0"/>
              <w:bottom w:val="single" w:color="auto" w:sz="6" w:space="0"/>
              <w:right w:val="single" w:color="auto" w:sz="12" w:space="0"/>
            </w:tcBorders>
            <w:noWrap/>
            <w:vAlign w:val="center"/>
          </w:tcPr>
          <w:p w14:paraId="0D12750C">
            <w:pPr>
              <w:spacing w:line="340" w:lineRule="exact"/>
              <w:jc w:val="center"/>
              <w:rPr>
                <w:rFonts w:hint="eastAsia" w:ascii="宋体" w:hAnsi="宋体" w:cs="宋体"/>
                <w:sz w:val="28"/>
                <w:szCs w:val="28"/>
              </w:rPr>
            </w:pPr>
            <w:r>
              <w:rPr>
                <w:rFonts w:hint="eastAsia" w:ascii="宋体" w:hAnsi="宋体" w:cs="宋体"/>
                <w:sz w:val="28"/>
                <w:szCs w:val="28"/>
              </w:rPr>
              <w:t>偏离说明</w:t>
            </w:r>
          </w:p>
        </w:tc>
      </w:tr>
      <w:tr w14:paraId="0A4187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45E79AE1">
            <w:pPr>
              <w:spacing w:line="340" w:lineRule="exact"/>
              <w:jc w:val="center"/>
              <w:rPr>
                <w:rFonts w:hint="eastAsia" w:ascii="宋体" w:hAnsi="宋体" w:cs="宋体"/>
                <w:sz w:val="28"/>
                <w:szCs w:val="28"/>
              </w:rPr>
            </w:pPr>
            <w:r>
              <w:rPr>
                <w:rFonts w:hint="eastAsia" w:ascii="宋体" w:hAnsi="宋体" w:cs="宋体"/>
                <w:sz w:val="28"/>
                <w:szCs w:val="28"/>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612D7FAE">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9881D2A">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5D39DC3">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025822F3">
            <w:pPr>
              <w:spacing w:line="340" w:lineRule="exact"/>
              <w:jc w:val="left"/>
              <w:rPr>
                <w:rFonts w:hint="eastAsia" w:ascii="宋体" w:hAnsi="宋体" w:cs="宋体"/>
                <w:sz w:val="28"/>
                <w:szCs w:val="28"/>
              </w:rPr>
            </w:pPr>
          </w:p>
        </w:tc>
      </w:tr>
      <w:tr w14:paraId="7B4094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F1DDE4">
            <w:pPr>
              <w:spacing w:line="340" w:lineRule="exact"/>
              <w:jc w:val="center"/>
              <w:rPr>
                <w:rFonts w:hint="eastAsia" w:ascii="宋体" w:hAnsi="宋体" w:cs="宋体"/>
                <w:sz w:val="28"/>
                <w:szCs w:val="28"/>
              </w:rPr>
            </w:pPr>
            <w:r>
              <w:rPr>
                <w:rFonts w:hint="eastAsia" w:ascii="宋体" w:hAnsi="宋体" w:cs="宋体"/>
                <w:sz w:val="28"/>
                <w:szCs w:val="28"/>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6FDA30A8">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089A0DF">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AED423C">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5B12CC9D">
            <w:pPr>
              <w:spacing w:line="340" w:lineRule="exact"/>
              <w:jc w:val="left"/>
              <w:rPr>
                <w:rFonts w:hint="eastAsia" w:ascii="宋体" w:hAnsi="宋体" w:cs="宋体"/>
                <w:sz w:val="28"/>
                <w:szCs w:val="28"/>
              </w:rPr>
            </w:pPr>
          </w:p>
        </w:tc>
      </w:tr>
      <w:tr w14:paraId="792069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778FC62D">
            <w:pPr>
              <w:spacing w:line="340" w:lineRule="exact"/>
              <w:jc w:val="center"/>
              <w:rPr>
                <w:rFonts w:hint="eastAsia" w:ascii="宋体" w:hAnsi="宋体" w:cs="宋体"/>
                <w:sz w:val="28"/>
                <w:szCs w:val="28"/>
              </w:rPr>
            </w:pPr>
            <w:r>
              <w:rPr>
                <w:rFonts w:hint="eastAsia" w:ascii="宋体" w:hAnsi="宋体" w:cs="宋体"/>
                <w:sz w:val="28"/>
                <w:szCs w:val="28"/>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61B2AE59">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ED76BDE">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951EDD4">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671DB11C">
            <w:pPr>
              <w:spacing w:line="340" w:lineRule="exact"/>
              <w:jc w:val="left"/>
              <w:rPr>
                <w:rFonts w:hint="eastAsia" w:ascii="宋体" w:hAnsi="宋体" w:cs="宋体"/>
                <w:sz w:val="28"/>
                <w:szCs w:val="28"/>
              </w:rPr>
            </w:pPr>
          </w:p>
        </w:tc>
      </w:tr>
      <w:tr w14:paraId="220733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6B8A5CA9">
            <w:pPr>
              <w:spacing w:line="340" w:lineRule="exact"/>
              <w:jc w:val="center"/>
              <w:rPr>
                <w:rFonts w:hint="eastAsia" w:ascii="宋体" w:hAnsi="宋体" w:cs="宋体"/>
                <w:sz w:val="28"/>
                <w:szCs w:val="28"/>
              </w:rPr>
            </w:pPr>
            <w:r>
              <w:rPr>
                <w:rFonts w:hint="eastAsia" w:ascii="宋体" w:hAnsi="宋体" w:cs="宋体"/>
                <w:sz w:val="28"/>
                <w:szCs w:val="28"/>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3611B8B4">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60E7AE3A">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313C2EF">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182A18D4">
            <w:pPr>
              <w:spacing w:line="340" w:lineRule="exact"/>
              <w:jc w:val="left"/>
              <w:rPr>
                <w:rFonts w:hint="eastAsia" w:ascii="宋体" w:hAnsi="宋体" w:cs="宋体"/>
                <w:sz w:val="28"/>
                <w:szCs w:val="28"/>
              </w:rPr>
            </w:pPr>
          </w:p>
        </w:tc>
      </w:tr>
    </w:tbl>
    <w:p w14:paraId="095D7DA1">
      <w:pPr>
        <w:snapToGrid w:val="0"/>
        <w:spacing w:line="300" w:lineRule="auto"/>
        <w:contextualSpacing/>
        <w:rPr>
          <w:rFonts w:hint="eastAsia" w:ascii="宋体" w:hAnsi="宋体" w:cs="宋体"/>
          <w:b/>
          <w:sz w:val="28"/>
          <w:szCs w:val="28"/>
        </w:rPr>
      </w:pPr>
      <w:r>
        <w:rPr>
          <w:rFonts w:hint="eastAsia" w:ascii="宋体" w:hAnsi="宋体" w:cs="宋体"/>
          <w:b/>
          <w:sz w:val="28"/>
          <w:szCs w:val="28"/>
        </w:rPr>
        <w:t>注：</w:t>
      </w:r>
    </w:p>
    <w:p w14:paraId="62A942E2">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1.如响应供应商提交的响应文件与采购文件第三部分“项目需求”中的商务部分的要求有偏离的，应逐条填列在偏离表中。未填写的内容视为完全响应本采购文件要求。</w:t>
      </w:r>
    </w:p>
    <w:p w14:paraId="1277B730">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2.“偏离说明”一栏选择“正偏离”、“负偏离”、“无偏离”进行填写。正偏离的确认和负偏离的是否响应采购文件，由询价小组认定。</w:t>
      </w:r>
    </w:p>
    <w:p w14:paraId="15BB732C">
      <w:pPr>
        <w:snapToGrid w:val="0"/>
        <w:spacing w:line="300" w:lineRule="auto"/>
        <w:ind w:firstLine="560" w:firstLineChars="200"/>
        <w:contextualSpacing/>
        <w:rPr>
          <w:rFonts w:hint="eastAsia" w:ascii="宋体" w:hAnsi="宋体" w:cs="宋体"/>
          <w:bCs/>
          <w:sz w:val="28"/>
          <w:szCs w:val="28"/>
        </w:rPr>
      </w:pPr>
      <w:r>
        <w:rPr>
          <w:rFonts w:hint="eastAsia" w:ascii="宋体" w:hAnsi="宋体" w:cs="宋体"/>
          <w:bCs/>
          <w:sz w:val="28"/>
          <w:szCs w:val="28"/>
        </w:rPr>
        <w:t>3.供应商若提供其他增值服务，可以在表中自行据实填写。</w:t>
      </w:r>
    </w:p>
    <w:p w14:paraId="533E2471">
      <w:pPr>
        <w:snapToGrid w:val="0"/>
        <w:spacing w:line="400" w:lineRule="exact"/>
        <w:ind w:firstLine="537" w:firstLineChars="192"/>
        <w:contextualSpacing/>
        <w:rPr>
          <w:rFonts w:hint="eastAsia" w:ascii="宋体" w:hAnsi="宋体" w:cs="宋体"/>
          <w:b/>
          <w:kern w:val="0"/>
          <w:sz w:val="28"/>
          <w:szCs w:val="28"/>
        </w:rPr>
      </w:pPr>
    </w:p>
    <w:p w14:paraId="1208EB81">
      <w:pPr>
        <w:spacing w:line="312" w:lineRule="auto"/>
        <w:ind w:firstLine="803" w:firstLineChars="287"/>
        <w:rPr>
          <w:rFonts w:hint="eastAsia" w:ascii="宋体" w:hAnsi="宋体" w:cs="宋体"/>
          <w:b/>
          <w:sz w:val="28"/>
          <w:szCs w:val="28"/>
        </w:rPr>
      </w:pPr>
    </w:p>
    <w:p w14:paraId="7B3F6F47">
      <w:pPr>
        <w:spacing w:line="312" w:lineRule="auto"/>
        <w:ind w:firstLine="1960" w:firstLineChars="700"/>
        <w:rPr>
          <w:rFonts w:hint="eastAsia" w:ascii="宋体" w:hAnsi="宋体" w:cs="宋体"/>
          <w:sz w:val="28"/>
          <w:szCs w:val="28"/>
          <w:u w:val="single"/>
        </w:rPr>
      </w:pPr>
      <w:r>
        <w:rPr>
          <w:rFonts w:hint="eastAsia" w:ascii="宋体" w:hAnsi="宋体" w:cs="宋体"/>
          <w:sz w:val="28"/>
          <w:szCs w:val="28"/>
        </w:rPr>
        <w:t>响应供应商全称（盖公章）：</w:t>
      </w:r>
    </w:p>
    <w:p w14:paraId="4B9CF892">
      <w:pPr>
        <w:spacing w:line="312" w:lineRule="auto"/>
        <w:ind w:firstLine="1960" w:firstLineChars="700"/>
        <w:rPr>
          <w:rFonts w:hint="eastAsia" w:ascii="宋体" w:hAnsi="宋体" w:cs="宋体"/>
          <w:sz w:val="28"/>
          <w:szCs w:val="28"/>
        </w:rPr>
      </w:pPr>
      <w:r>
        <w:rPr>
          <w:rFonts w:hint="eastAsia" w:ascii="宋体" w:hAnsi="宋体" w:cs="宋体"/>
          <w:sz w:val="28"/>
          <w:szCs w:val="28"/>
        </w:rPr>
        <w:t>法定代表人（签字或盖章）：</w:t>
      </w:r>
    </w:p>
    <w:p w14:paraId="5FF8C397">
      <w:pPr>
        <w:spacing w:line="312" w:lineRule="auto"/>
        <w:ind w:firstLine="1960" w:firstLineChars="700"/>
        <w:rPr>
          <w:rFonts w:hint="eastAsia" w:ascii="宋体" w:hAnsi="宋体" w:cs="宋体"/>
          <w:sz w:val="28"/>
          <w:szCs w:val="28"/>
        </w:rPr>
      </w:pPr>
      <w:r>
        <w:rPr>
          <w:rFonts w:hint="eastAsia" w:ascii="宋体" w:hAnsi="宋体" w:cs="宋体"/>
          <w:sz w:val="28"/>
          <w:szCs w:val="28"/>
        </w:rPr>
        <w:t>日期：年月日</w:t>
      </w:r>
    </w:p>
    <w:p w14:paraId="65746DCA">
      <w:pPr>
        <w:widowControl/>
        <w:spacing w:line="312" w:lineRule="auto"/>
        <w:jc w:val="left"/>
        <w:rPr>
          <w:rFonts w:hint="eastAsia" w:ascii="宋体" w:hAnsi="宋体" w:cs="宋体"/>
          <w:b/>
          <w:bCs/>
          <w:sz w:val="32"/>
          <w:szCs w:val="32"/>
        </w:rPr>
      </w:pPr>
      <w:r>
        <w:rPr>
          <w:rFonts w:hint="eastAsia" w:ascii="宋体" w:hAnsi="宋体" w:cs="宋体"/>
          <w:b/>
          <w:sz w:val="24"/>
        </w:rPr>
        <w:br w:type="page"/>
      </w:r>
    </w:p>
    <w:p w14:paraId="3EA4DAD7">
      <w:pPr>
        <w:widowControl/>
        <w:spacing w:line="312" w:lineRule="auto"/>
        <w:jc w:val="left"/>
        <w:rPr>
          <w:rFonts w:hint="eastAsia" w:ascii="宋体" w:hAnsi="宋体" w:cs="宋体"/>
          <w:sz w:val="24"/>
        </w:rPr>
      </w:pPr>
      <w:r>
        <w:rPr>
          <w:rFonts w:hint="eastAsia" w:ascii="宋体" w:hAnsi="宋体" w:cs="宋体"/>
          <w:sz w:val="32"/>
          <w:szCs w:val="32"/>
        </w:rPr>
        <w:t>附件8</w:t>
      </w:r>
    </w:p>
    <w:p w14:paraId="556C38A1">
      <w:pPr>
        <w:snapToGrid w:val="0"/>
        <w:spacing w:line="300" w:lineRule="auto"/>
        <w:contextualSpacing/>
        <w:jc w:val="center"/>
        <w:rPr>
          <w:rFonts w:hint="eastAsia" w:ascii="宋体" w:hAnsi="宋体" w:cs="宋体"/>
          <w:b/>
          <w:sz w:val="32"/>
          <w:szCs w:val="32"/>
        </w:rPr>
      </w:pPr>
      <w:r>
        <w:rPr>
          <w:rFonts w:hint="eastAsia" w:ascii="宋体" w:hAnsi="宋体" w:cs="宋体"/>
          <w:b/>
          <w:sz w:val="32"/>
          <w:szCs w:val="32"/>
        </w:rPr>
        <w:t>技术部分正负偏离表</w:t>
      </w:r>
    </w:p>
    <w:p w14:paraId="33C5601D">
      <w:pPr>
        <w:ind w:firstLine="560" w:firstLineChars="200"/>
        <w:jc w:val="center"/>
        <w:rPr>
          <w:rFonts w:hint="eastAsia" w:ascii="宋体" w:hAnsi="宋体" w:cs="宋体"/>
          <w:sz w:val="28"/>
          <w:szCs w:val="28"/>
        </w:rPr>
      </w:pPr>
      <w:r>
        <w:rPr>
          <w:rFonts w:hint="eastAsia" w:ascii="宋体" w:hAnsi="宋体" w:cs="宋体"/>
          <w:sz w:val="28"/>
          <w:szCs w:val="28"/>
        </w:rPr>
        <w:t>（由响应供应商据实填写，表格不够自行添加）</w:t>
      </w:r>
    </w:p>
    <w:tbl>
      <w:tblPr>
        <w:tblStyle w:val="15"/>
        <w:tblW w:w="5173"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1975"/>
        <w:gridCol w:w="2981"/>
        <w:gridCol w:w="2225"/>
        <w:gridCol w:w="1016"/>
      </w:tblGrid>
      <w:tr w14:paraId="0ECC24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02" w:type="pct"/>
            <w:tcBorders>
              <w:top w:val="single" w:color="auto" w:sz="12" w:space="0"/>
              <w:left w:val="single" w:color="auto" w:sz="12" w:space="0"/>
              <w:bottom w:val="single" w:color="auto" w:sz="6" w:space="0"/>
              <w:right w:val="single" w:color="auto" w:sz="6" w:space="0"/>
            </w:tcBorders>
            <w:noWrap/>
            <w:vAlign w:val="center"/>
          </w:tcPr>
          <w:p w14:paraId="36051A64">
            <w:pPr>
              <w:spacing w:line="340" w:lineRule="exact"/>
              <w:jc w:val="center"/>
              <w:rPr>
                <w:rFonts w:hint="eastAsia" w:ascii="宋体" w:hAnsi="宋体" w:cs="宋体"/>
                <w:sz w:val="28"/>
                <w:szCs w:val="28"/>
              </w:rPr>
            </w:pPr>
            <w:r>
              <w:rPr>
                <w:rFonts w:hint="eastAsia" w:ascii="宋体" w:hAnsi="宋体" w:cs="宋体"/>
                <w:sz w:val="28"/>
                <w:szCs w:val="28"/>
              </w:rPr>
              <w:t>序号</w:t>
            </w:r>
          </w:p>
        </w:tc>
        <w:tc>
          <w:tcPr>
            <w:tcW w:w="1107" w:type="pct"/>
            <w:tcBorders>
              <w:top w:val="single" w:color="auto" w:sz="12" w:space="0"/>
              <w:left w:val="single" w:color="auto" w:sz="6" w:space="0"/>
              <w:bottom w:val="single" w:color="auto" w:sz="6" w:space="0"/>
              <w:right w:val="single" w:color="auto" w:sz="6" w:space="0"/>
            </w:tcBorders>
            <w:noWrap/>
            <w:vAlign w:val="center"/>
          </w:tcPr>
          <w:p w14:paraId="7CD250B5">
            <w:pPr>
              <w:spacing w:line="340" w:lineRule="exact"/>
              <w:jc w:val="center"/>
              <w:rPr>
                <w:rFonts w:hint="eastAsia" w:ascii="宋体" w:hAnsi="宋体" w:cs="宋体"/>
                <w:sz w:val="28"/>
                <w:szCs w:val="28"/>
              </w:rPr>
            </w:pPr>
            <w:r>
              <w:rPr>
                <w:rFonts w:hint="eastAsia" w:ascii="宋体" w:hAnsi="宋体" w:cs="宋体"/>
                <w:sz w:val="28"/>
                <w:szCs w:val="28"/>
              </w:rPr>
              <w:t>货物或服务名称</w:t>
            </w:r>
          </w:p>
        </w:tc>
        <w:tc>
          <w:tcPr>
            <w:tcW w:w="1671" w:type="pct"/>
            <w:tcBorders>
              <w:top w:val="single" w:color="auto" w:sz="12" w:space="0"/>
              <w:left w:val="single" w:color="auto" w:sz="6" w:space="0"/>
              <w:bottom w:val="single" w:color="auto" w:sz="6" w:space="0"/>
              <w:right w:val="single" w:color="auto" w:sz="6" w:space="0"/>
            </w:tcBorders>
            <w:noWrap/>
            <w:vAlign w:val="center"/>
          </w:tcPr>
          <w:p w14:paraId="2B6F1C8D">
            <w:pPr>
              <w:spacing w:line="340" w:lineRule="exact"/>
              <w:jc w:val="center"/>
              <w:rPr>
                <w:rFonts w:hint="eastAsia" w:ascii="宋体" w:hAnsi="宋体" w:cs="宋体"/>
                <w:sz w:val="28"/>
                <w:szCs w:val="28"/>
              </w:rPr>
            </w:pPr>
            <w:r>
              <w:rPr>
                <w:rFonts w:hint="eastAsia" w:ascii="宋体" w:hAnsi="宋体" w:cs="宋体"/>
                <w:sz w:val="28"/>
                <w:szCs w:val="28"/>
              </w:rPr>
              <w:t>采购文件要求的技术要求</w:t>
            </w:r>
          </w:p>
        </w:tc>
        <w:tc>
          <w:tcPr>
            <w:tcW w:w="1248" w:type="pct"/>
            <w:tcBorders>
              <w:top w:val="single" w:color="auto" w:sz="12" w:space="0"/>
              <w:left w:val="single" w:color="auto" w:sz="6" w:space="0"/>
              <w:bottom w:val="single" w:color="auto" w:sz="6" w:space="0"/>
              <w:right w:val="single" w:color="auto" w:sz="6" w:space="0"/>
            </w:tcBorders>
            <w:noWrap/>
            <w:vAlign w:val="center"/>
          </w:tcPr>
          <w:p w14:paraId="60A71D2B">
            <w:pPr>
              <w:spacing w:line="340" w:lineRule="exact"/>
              <w:jc w:val="center"/>
              <w:rPr>
                <w:rFonts w:hint="eastAsia" w:ascii="宋体" w:hAnsi="宋体" w:cs="宋体"/>
                <w:sz w:val="28"/>
                <w:szCs w:val="28"/>
              </w:rPr>
            </w:pPr>
            <w:r>
              <w:rPr>
                <w:rFonts w:hint="eastAsia" w:ascii="宋体" w:hAnsi="宋体" w:cs="宋体"/>
                <w:sz w:val="28"/>
                <w:szCs w:val="28"/>
              </w:rPr>
              <w:t>响应文件响应情况</w:t>
            </w:r>
          </w:p>
        </w:tc>
        <w:tc>
          <w:tcPr>
            <w:tcW w:w="570" w:type="pct"/>
            <w:tcBorders>
              <w:top w:val="single" w:color="auto" w:sz="12" w:space="0"/>
              <w:left w:val="single" w:color="auto" w:sz="6" w:space="0"/>
              <w:bottom w:val="single" w:color="auto" w:sz="6" w:space="0"/>
              <w:right w:val="single" w:color="auto" w:sz="12" w:space="0"/>
            </w:tcBorders>
            <w:noWrap/>
            <w:vAlign w:val="center"/>
          </w:tcPr>
          <w:p w14:paraId="0616F38F">
            <w:pPr>
              <w:spacing w:line="340" w:lineRule="exact"/>
              <w:jc w:val="center"/>
              <w:rPr>
                <w:rFonts w:hint="eastAsia" w:ascii="宋体" w:hAnsi="宋体" w:cs="宋体"/>
                <w:sz w:val="28"/>
                <w:szCs w:val="28"/>
              </w:rPr>
            </w:pPr>
            <w:r>
              <w:rPr>
                <w:rFonts w:hint="eastAsia" w:ascii="宋体" w:hAnsi="宋体" w:cs="宋体"/>
                <w:sz w:val="28"/>
                <w:szCs w:val="28"/>
              </w:rPr>
              <w:t>偏离</w:t>
            </w:r>
          </w:p>
          <w:p w14:paraId="398A6EDF">
            <w:pPr>
              <w:spacing w:line="340" w:lineRule="exact"/>
              <w:jc w:val="center"/>
              <w:rPr>
                <w:rFonts w:hint="eastAsia" w:ascii="宋体" w:hAnsi="宋体" w:cs="宋体"/>
                <w:sz w:val="28"/>
                <w:szCs w:val="28"/>
              </w:rPr>
            </w:pPr>
            <w:r>
              <w:rPr>
                <w:rFonts w:hint="eastAsia" w:ascii="宋体" w:hAnsi="宋体" w:cs="宋体"/>
                <w:sz w:val="28"/>
                <w:szCs w:val="28"/>
              </w:rPr>
              <w:t>说明</w:t>
            </w:r>
          </w:p>
        </w:tc>
      </w:tr>
      <w:tr w14:paraId="2B488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02" w:type="pct"/>
            <w:tcBorders>
              <w:top w:val="single" w:color="auto" w:sz="6" w:space="0"/>
              <w:left w:val="single" w:color="auto" w:sz="12" w:space="0"/>
              <w:bottom w:val="single" w:color="auto" w:sz="6" w:space="0"/>
              <w:right w:val="single" w:color="auto" w:sz="6" w:space="0"/>
            </w:tcBorders>
            <w:noWrap/>
          </w:tcPr>
          <w:p w14:paraId="4893960D">
            <w:pPr>
              <w:spacing w:line="340" w:lineRule="exact"/>
              <w:jc w:val="center"/>
              <w:rPr>
                <w:rFonts w:hint="eastAsia" w:ascii="宋体" w:hAnsi="宋体" w:cs="宋体"/>
                <w:sz w:val="28"/>
                <w:szCs w:val="28"/>
              </w:rPr>
            </w:pPr>
            <w:r>
              <w:rPr>
                <w:rFonts w:hint="eastAsia" w:ascii="宋体" w:hAnsi="宋体" w:cs="宋体"/>
                <w:sz w:val="28"/>
                <w:szCs w:val="28"/>
              </w:rPr>
              <w:t>1</w:t>
            </w:r>
          </w:p>
        </w:tc>
        <w:tc>
          <w:tcPr>
            <w:tcW w:w="1107" w:type="pct"/>
            <w:tcBorders>
              <w:top w:val="single" w:color="auto" w:sz="6" w:space="0"/>
              <w:left w:val="single" w:color="auto" w:sz="6" w:space="0"/>
              <w:bottom w:val="single" w:color="auto" w:sz="6" w:space="0"/>
              <w:right w:val="single" w:color="auto" w:sz="6" w:space="0"/>
            </w:tcBorders>
            <w:noWrap/>
            <w:vAlign w:val="center"/>
          </w:tcPr>
          <w:p w14:paraId="60F05F2A">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007FC46D">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409F27DE">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34C9582D">
            <w:pPr>
              <w:spacing w:line="340" w:lineRule="exact"/>
              <w:jc w:val="left"/>
              <w:rPr>
                <w:rFonts w:hint="eastAsia" w:ascii="宋体" w:hAnsi="宋体" w:cs="宋体"/>
                <w:sz w:val="28"/>
                <w:szCs w:val="28"/>
              </w:rPr>
            </w:pPr>
          </w:p>
        </w:tc>
      </w:tr>
      <w:tr w14:paraId="170804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02" w:type="pct"/>
            <w:tcBorders>
              <w:top w:val="single" w:color="auto" w:sz="6" w:space="0"/>
              <w:left w:val="single" w:color="auto" w:sz="12" w:space="0"/>
              <w:bottom w:val="single" w:color="auto" w:sz="6" w:space="0"/>
              <w:right w:val="single" w:color="auto" w:sz="6" w:space="0"/>
            </w:tcBorders>
            <w:noWrap/>
          </w:tcPr>
          <w:p w14:paraId="180467CE">
            <w:pPr>
              <w:spacing w:line="340" w:lineRule="exact"/>
              <w:jc w:val="center"/>
              <w:rPr>
                <w:rFonts w:hint="eastAsia" w:ascii="宋体" w:hAnsi="宋体" w:cs="宋体"/>
                <w:sz w:val="28"/>
                <w:szCs w:val="28"/>
              </w:rPr>
            </w:pPr>
            <w:r>
              <w:rPr>
                <w:rFonts w:hint="eastAsia" w:ascii="宋体" w:hAnsi="宋体" w:cs="宋体"/>
                <w:sz w:val="28"/>
                <w:szCs w:val="28"/>
              </w:rPr>
              <w:t>2</w:t>
            </w:r>
          </w:p>
        </w:tc>
        <w:tc>
          <w:tcPr>
            <w:tcW w:w="1107" w:type="pct"/>
            <w:tcBorders>
              <w:top w:val="single" w:color="auto" w:sz="6" w:space="0"/>
              <w:left w:val="single" w:color="auto" w:sz="6" w:space="0"/>
              <w:bottom w:val="single" w:color="auto" w:sz="6" w:space="0"/>
              <w:right w:val="single" w:color="auto" w:sz="6" w:space="0"/>
            </w:tcBorders>
            <w:noWrap/>
            <w:vAlign w:val="center"/>
          </w:tcPr>
          <w:p w14:paraId="7C0F040D">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671B6C18">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220EBAD9">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2A22E06A">
            <w:pPr>
              <w:spacing w:line="340" w:lineRule="exact"/>
              <w:jc w:val="left"/>
              <w:rPr>
                <w:rFonts w:hint="eastAsia" w:ascii="宋体" w:hAnsi="宋体" w:cs="宋体"/>
                <w:sz w:val="28"/>
                <w:szCs w:val="28"/>
              </w:rPr>
            </w:pPr>
          </w:p>
        </w:tc>
      </w:tr>
      <w:tr w14:paraId="58C982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02" w:type="pct"/>
            <w:tcBorders>
              <w:top w:val="single" w:color="auto" w:sz="6" w:space="0"/>
              <w:left w:val="single" w:color="auto" w:sz="12" w:space="0"/>
              <w:bottom w:val="single" w:color="auto" w:sz="6" w:space="0"/>
              <w:right w:val="single" w:color="auto" w:sz="6" w:space="0"/>
            </w:tcBorders>
            <w:noWrap/>
          </w:tcPr>
          <w:p w14:paraId="2996BDA6">
            <w:pPr>
              <w:spacing w:line="340" w:lineRule="exact"/>
              <w:jc w:val="center"/>
              <w:rPr>
                <w:rFonts w:hint="eastAsia" w:ascii="宋体" w:hAnsi="宋体" w:cs="宋体"/>
                <w:sz w:val="28"/>
                <w:szCs w:val="28"/>
              </w:rPr>
            </w:pPr>
            <w:r>
              <w:rPr>
                <w:rFonts w:hint="eastAsia" w:ascii="宋体" w:hAnsi="宋体" w:cs="宋体"/>
                <w:sz w:val="28"/>
                <w:szCs w:val="28"/>
              </w:rPr>
              <w:t>3</w:t>
            </w:r>
          </w:p>
        </w:tc>
        <w:tc>
          <w:tcPr>
            <w:tcW w:w="1107" w:type="pct"/>
            <w:tcBorders>
              <w:top w:val="single" w:color="auto" w:sz="6" w:space="0"/>
              <w:left w:val="single" w:color="auto" w:sz="6" w:space="0"/>
              <w:bottom w:val="single" w:color="auto" w:sz="6" w:space="0"/>
              <w:right w:val="single" w:color="auto" w:sz="6" w:space="0"/>
            </w:tcBorders>
            <w:noWrap/>
            <w:vAlign w:val="center"/>
          </w:tcPr>
          <w:p w14:paraId="16F652F6">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02D9700D">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6AAC5D8A">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718D6786">
            <w:pPr>
              <w:spacing w:line="340" w:lineRule="exact"/>
              <w:jc w:val="left"/>
              <w:rPr>
                <w:rFonts w:hint="eastAsia" w:ascii="宋体" w:hAnsi="宋体" w:cs="宋体"/>
                <w:sz w:val="28"/>
                <w:szCs w:val="28"/>
              </w:rPr>
            </w:pPr>
          </w:p>
        </w:tc>
      </w:tr>
      <w:tr w14:paraId="7E6859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02" w:type="pct"/>
            <w:tcBorders>
              <w:top w:val="single" w:color="auto" w:sz="6" w:space="0"/>
              <w:left w:val="single" w:color="auto" w:sz="12" w:space="0"/>
              <w:bottom w:val="single" w:color="auto" w:sz="6" w:space="0"/>
              <w:right w:val="single" w:color="auto" w:sz="6" w:space="0"/>
            </w:tcBorders>
            <w:noWrap/>
          </w:tcPr>
          <w:p w14:paraId="4594EEEA">
            <w:pPr>
              <w:spacing w:line="340" w:lineRule="exact"/>
              <w:jc w:val="center"/>
              <w:rPr>
                <w:rFonts w:hint="eastAsia" w:ascii="宋体" w:hAnsi="宋体" w:cs="宋体"/>
                <w:sz w:val="28"/>
                <w:szCs w:val="28"/>
              </w:rPr>
            </w:pPr>
            <w:r>
              <w:rPr>
                <w:rFonts w:hint="eastAsia" w:ascii="宋体" w:hAnsi="宋体" w:cs="宋体"/>
                <w:sz w:val="28"/>
                <w:szCs w:val="28"/>
              </w:rPr>
              <w:t>4</w:t>
            </w:r>
          </w:p>
        </w:tc>
        <w:tc>
          <w:tcPr>
            <w:tcW w:w="1107" w:type="pct"/>
            <w:tcBorders>
              <w:top w:val="single" w:color="auto" w:sz="6" w:space="0"/>
              <w:left w:val="single" w:color="auto" w:sz="6" w:space="0"/>
              <w:bottom w:val="single" w:color="auto" w:sz="6" w:space="0"/>
              <w:right w:val="single" w:color="auto" w:sz="6" w:space="0"/>
            </w:tcBorders>
            <w:noWrap/>
            <w:vAlign w:val="center"/>
          </w:tcPr>
          <w:p w14:paraId="7D9E61AB">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4015D515">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209C5921">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2913F9F1">
            <w:pPr>
              <w:spacing w:line="340" w:lineRule="exact"/>
              <w:jc w:val="left"/>
              <w:rPr>
                <w:rFonts w:hint="eastAsia" w:ascii="宋体" w:hAnsi="宋体" w:cs="宋体"/>
                <w:sz w:val="28"/>
                <w:szCs w:val="28"/>
              </w:rPr>
            </w:pPr>
          </w:p>
        </w:tc>
      </w:tr>
    </w:tbl>
    <w:p w14:paraId="044A2A14">
      <w:pPr>
        <w:snapToGrid w:val="0"/>
        <w:spacing w:line="300" w:lineRule="auto"/>
        <w:contextualSpacing/>
        <w:rPr>
          <w:rFonts w:hint="eastAsia" w:ascii="宋体" w:hAnsi="宋体" w:cs="宋体"/>
          <w:b/>
          <w:sz w:val="28"/>
          <w:szCs w:val="28"/>
        </w:rPr>
      </w:pPr>
      <w:r>
        <w:rPr>
          <w:rFonts w:hint="eastAsia" w:ascii="宋体" w:hAnsi="宋体" w:cs="宋体"/>
          <w:b/>
          <w:sz w:val="28"/>
          <w:szCs w:val="28"/>
        </w:rPr>
        <w:t>注：</w:t>
      </w:r>
    </w:p>
    <w:p w14:paraId="2C3CE6A8">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1.如响应供应商提交的响应文件与采购文件第三部分“项目需求”中的技术部分的要求有偏离的，应逐条填列在偏离表中。未填写的内容视为完全响应本采购文件要求。</w:t>
      </w:r>
    </w:p>
    <w:p w14:paraId="37698702">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2.“偏离说明”一栏选择“正偏离”、“负偏离”、“无偏离”进行填写。正偏离的确认和负偏离的是否响应采购文件，由询价小组认定。</w:t>
      </w:r>
    </w:p>
    <w:p w14:paraId="666D389B">
      <w:pPr>
        <w:snapToGrid w:val="0"/>
        <w:spacing w:line="300" w:lineRule="auto"/>
        <w:ind w:firstLine="560" w:firstLineChars="200"/>
        <w:contextualSpacing/>
        <w:rPr>
          <w:rFonts w:hint="eastAsia" w:ascii="宋体" w:hAnsi="宋体" w:cs="宋体"/>
          <w:bCs/>
          <w:sz w:val="28"/>
          <w:szCs w:val="28"/>
        </w:rPr>
      </w:pPr>
      <w:r>
        <w:rPr>
          <w:rFonts w:hint="eastAsia" w:ascii="宋体" w:hAnsi="宋体" w:cs="宋体"/>
          <w:bCs/>
          <w:sz w:val="28"/>
          <w:szCs w:val="28"/>
        </w:rPr>
        <w:t>3.供应商若提供其他增值服务，可以在表中自行据实填写。</w:t>
      </w:r>
    </w:p>
    <w:p w14:paraId="07218D32">
      <w:pPr>
        <w:spacing w:line="312" w:lineRule="auto"/>
        <w:ind w:firstLine="2520" w:firstLineChars="900"/>
        <w:rPr>
          <w:rFonts w:hint="eastAsia" w:ascii="宋体" w:hAnsi="宋体" w:cs="宋体"/>
          <w:sz w:val="28"/>
          <w:szCs w:val="28"/>
          <w:u w:val="single"/>
        </w:rPr>
      </w:pPr>
      <w:r>
        <w:rPr>
          <w:rFonts w:hint="eastAsia" w:ascii="宋体" w:hAnsi="宋体" w:cs="宋体"/>
          <w:sz w:val="28"/>
          <w:szCs w:val="28"/>
        </w:rPr>
        <w:t>响应供应商全称（盖公章）：</w:t>
      </w:r>
    </w:p>
    <w:p w14:paraId="2D326672">
      <w:pPr>
        <w:spacing w:line="312" w:lineRule="auto"/>
        <w:ind w:firstLine="2520" w:firstLineChars="900"/>
        <w:rPr>
          <w:rFonts w:hint="eastAsia" w:ascii="宋体" w:hAnsi="宋体" w:cs="宋体"/>
          <w:sz w:val="28"/>
          <w:szCs w:val="28"/>
          <w:u w:val="single"/>
        </w:rPr>
      </w:pPr>
      <w:r>
        <w:rPr>
          <w:rFonts w:hint="eastAsia" w:ascii="宋体" w:hAnsi="宋体" w:cs="宋体"/>
          <w:sz w:val="28"/>
          <w:szCs w:val="28"/>
        </w:rPr>
        <w:t>法定代表人（签字或盖章）：</w:t>
      </w:r>
    </w:p>
    <w:p w14:paraId="0190EE7F">
      <w:pPr>
        <w:spacing w:line="312" w:lineRule="auto"/>
        <w:ind w:firstLine="2520" w:firstLineChars="900"/>
        <w:rPr>
          <w:rFonts w:hint="eastAsia" w:ascii="宋体" w:hAnsi="宋体" w:cs="宋体"/>
          <w:sz w:val="28"/>
          <w:szCs w:val="28"/>
        </w:rPr>
      </w:pPr>
      <w:bookmarkStart w:id="54" w:name="_Toc71282465"/>
      <w:bookmarkStart w:id="55" w:name="_Toc71282449"/>
      <w:bookmarkStart w:id="56" w:name="_Toc71282604"/>
      <w:r>
        <w:rPr>
          <w:rFonts w:hint="eastAsia" w:ascii="宋体" w:hAnsi="宋体" w:cs="宋体"/>
          <w:sz w:val="28"/>
          <w:szCs w:val="28"/>
        </w:rPr>
        <w:t>日期：年月日</w:t>
      </w:r>
      <w:bookmarkEnd w:id="54"/>
      <w:bookmarkEnd w:id="55"/>
      <w:bookmarkEnd w:id="56"/>
    </w:p>
    <w:p w14:paraId="301A31C3">
      <w:pPr>
        <w:rPr>
          <w:rFonts w:hint="eastAsia" w:ascii="宋体" w:hAnsi="宋体" w:cs="宋体"/>
          <w:b/>
          <w:bCs/>
          <w:sz w:val="32"/>
          <w:szCs w:val="32"/>
        </w:rPr>
      </w:pPr>
      <w:r>
        <w:rPr>
          <w:rFonts w:hint="eastAsia" w:ascii="宋体" w:hAnsi="宋体" w:cs="宋体"/>
          <w:b/>
          <w:bCs/>
          <w:sz w:val="32"/>
          <w:szCs w:val="32"/>
        </w:rPr>
        <w:br w:type="page"/>
      </w:r>
    </w:p>
    <w:p w14:paraId="77F3E572">
      <w:pPr>
        <w:spacing w:line="312" w:lineRule="auto"/>
        <w:rPr>
          <w:rFonts w:hint="eastAsia" w:ascii="宋体" w:hAnsi="宋体" w:cs="宋体"/>
          <w:sz w:val="32"/>
          <w:szCs w:val="32"/>
        </w:rPr>
      </w:pPr>
      <w:r>
        <w:rPr>
          <w:rFonts w:hint="eastAsia" w:ascii="宋体" w:hAnsi="宋体" w:cs="宋体"/>
          <w:sz w:val="32"/>
          <w:szCs w:val="32"/>
        </w:rPr>
        <w:t>附件9</w:t>
      </w:r>
    </w:p>
    <w:p w14:paraId="62B6496D">
      <w:pPr>
        <w:jc w:val="center"/>
        <w:rPr>
          <w:rFonts w:hint="eastAsia" w:ascii="宋体" w:hAnsi="宋体" w:cs="宋体"/>
          <w:b/>
          <w:bCs/>
          <w:sz w:val="32"/>
          <w:szCs w:val="40"/>
        </w:rPr>
      </w:pPr>
      <w:r>
        <w:rPr>
          <w:rFonts w:hint="eastAsia" w:ascii="宋体" w:hAnsi="宋体" w:cs="宋体"/>
          <w:b/>
          <w:bCs/>
          <w:sz w:val="32"/>
          <w:szCs w:val="40"/>
        </w:rPr>
        <w:t>分项报价明细表（货物类）</w:t>
      </w:r>
    </w:p>
    <w:tbl>
      <w:tblPr>
        <w:tblStyle w:val="15"/>
        <w:tblW w:w="10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1230"/>
        <w:gridCol w:w="1335"/>
        <w:gridCol w:w="705"/>
        <w:gridCol w:w="975"/>
        <w:gridCol w:w="705"/>
        <w:gridCol w:w="735"/>
        <w:gridCol w:w="707"/>
        <w:gridCol w:w="1399"/>
        <w:gridCol w:w="1506"/>
      </w:tblGrid>
      <w:tr w14:paraId="0D11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exact"/>
          <w:jc w:val="center"/>
        </w:trPr>
        <w:tc>
          <w:tcPr>
            <w:tcW w:w="1226" w:type="dxa"/>
            <w:noWrap/>
            <w:vAlign w:val="center"/>
          </w:tcPr>
          <w:p w14:paraId="062BB856">
            <w:pPr>
              <w:jc w:val="center"/>
              <w:rPr>
                <w:rFonts w:hint="eastAsia" w:ascii="宋体" w:hAnsi="宋体" w:cs="宋体"/>
                <w:b/>
                <w:bCs/>
                <w:kern w:val="0"/>
                <w:sz w:val="24"/>
              </w:rPr>
            </w:pPr>
            <w:r>
              <w:rPr>
                <w:rFonts w:hint="eastAsia" w:ascii="宋体" w:hAnsi="宋体" w:cs="宋体"/>
                <w:b/>
                <w:bCs/>
                <w:kern w:val="0"/>
                <w:sz w:val="24"/>
              </w:rPr>
              <w:t>序号</w:t>
            </w:r>
          </w:p>
        </w:tc>
        <w:tc>
          <w:tcPr>
            <w:tcW w:w="1230" w:type="dxa"/>
            <w:noWrap/>
            <w:vAlign w:val="center"/>
          </w:tcPr>
          <w:p w14:paraId="564B77A2">
            <w:pPr>
              <w:jc w:val="center"/>
              <w:rPr>
                <w:rFonts w:hint="eastAsia" w:ascii="宋体" w:hAnsi="宋体" w:cs="宋体"/>
                <w:b/>
                <w:bCs/>
                <w:kern w:val="0"/>
                <w:sz w:val="24"/>
              </w:rPr>
            </w:pPr>
            <w:r>
              <w:rPr>
                <w:rFonts w:hint="eastAsia" w:ascii="宋体" w:hAnsi="宋体" w:cs="宋体"/>
                <w:b/>
                <w:bCs/>
                <w:kern w:val="0"/>
                <w:sz w:val="24"/>
              </w:rPr>
              <w:t>货物名称</w:t>
            </w:r>
          </w:p>
        </w:tc>
        <w:tc>
          <w:tcPr>
            <w:tcW w:w="1335" w:type="dxa"/>
            <w:noWrap/>
            <w:vAlign w:val="center"/>
          </w:tcPr>
          <w:p w14:paraId="28396B21">
            <w:pPr>
              <w:jc w:val="center"/>
              <w:rPr>
                <w:rFonts w:hint="eastAsia" w:ascii="宋体" w:hAnsi="宋体" w:cs="宋体"/>
                <w:b/>
                <w:bCs/>
                <w:kern w:val="0"/>
                <w:sz w:val="24"/>
              </w:rPr>
            </w:pPr>
            <w:r>
              <w:rPr>
                <w:rFonts w:hint="eastAsia" w:ascii="宋体" w:hAnsi="宋体" w:cs="宋体"/>
                <w:b/>
                <w:bCs/>
                <w:kern w:val="0"/>
                <w:sz w:val="24"/>
              </w:rPr>
              <w:t>规格型号</w:t>
            </w:r>
          </w:p>
        </w:tc>
        <w:tc>
          <w:tcPr>
            <w:tcW w:w="705" w:type="dxa"/>
            <w:noWrap/>
            <w:vAlign w:val="center"/>
          </w:tcPr>
          <w:p w14:paraId="3DCF8C55">
            <w:pPr>
              <w:jc w:val="center"/>
              <w:rPr>
                <w:rFonts w:hint="eastAsia" w:ascii="宋体" w:hAnsi="宋体" w:cs="宋体"/>
                <w:b/>
                <w:bCs/>
                <w:kern w:val="0"/>
                <w:sz w:val="24"/>
              </w:rPr>
            </w:pPr>
            <w:r>
              <w:rPr>
                <w:rFonts w:hint="eastAsia" w:ascii="宋体" w:hAnsi="宋体" w:cs="宋体"/>
                <w:b/>
                <w:bCs/>
                <w:kern w:val="0"/>
                <w:sz w:val="24"/>
              </w:rPr>
              <w:t>品牌</w:t>
            </w:r>
          </w:p>
        </w:tc>
        <w:tc>
          <w:tcPr>
            <w:tcW w:w="975" w:type="dxa"/>
          </w:tcPr>
          <w:p w14:paraId="5E476D52">
            <w:pPr>
              <w:snapToGrid w:val="0"/>
              <w:spacing w:line="360" w:lineRule="auto"/>
              <w:jc w:val="center"/>
              <w:rPr>
                <w:rFonts w:hint="eastAsia" w:ascii="宋体" w:hAnsi="宋体" w:cs="宋体"/>
                <w:b/>
                <w:szCs w:val="21"/>
              </w:rPr>
            </w:pPr>
            <w:r>
              <w:rPr>
                <w:rFonts w:hint="eastAsia" w:ascii="宋体" w:hAnsi="宋体" w:cs="宋体"/>
                <w:b/>
                <w:szCs w:val="21"/>
              </w:rPr>
              <w:t>生产厂家名称</w:t>
            </w:r>
          </w:p>
        </w:tc>
        <w:tc>
          <w:tcPr>
            <w:tcW w:w="705" w:type="dxa"/>
            <w:noWrap/>
            <w:vAlign w:val="center"/>
          </w:tcPr>
          <w:p w14:paraId="7539D7D3">
            <w:pPr>
              <w:jc w:val="center"/>
              <w:rPr>
                <w:rFonts w:hint="eastAsia" w:ascii="宋体" w:hAnsi="宋体" w:cs="宋体"/>
                <w:b/>
                <w:bCs/>
                <w:kern w:val="0"/>
                <w:sz w:val="24"/>
              </w:rPr>
            </w:pPr>
            <w:r>
              <w:rPr>
                <w:rFonts w:hint="eastAsia" w:ascii="宋体" w:hAnsi="宋体" w:cs="宋体"/>
                <w:b/>
                <w:bCs/>
                <w:kern w:val="0"/>
                <w:sz w:val="24"/>
              </w:rPr>
              <w:t>单位</w:t>
            </w:r>
          </w:p>
        </w:tc>
        <w:tc>
          <w:tcPr>
            <w:tcW w:w="735" w:type="dxa"/>
            <w:noWrap/>
            <w:vAlign w:val="center"/>
          </w:tcPr>
          <w:p w14:paraId="4719AF37">
            <w:pPr>
              <w:jc w:val="center"/>
              <w:rPr>
                <w:rFonts w:hint="eastAsia" w:ascii="宋体" w:hAnsi="宋体" w:cs="宋体"/>
                <w:b/>
                <w:bCs/>
                <w:kern w:val="0"/>
                <w:sz w:val="24"/>
              </w:rPr>
            </w:pPr>
            <w:r>
              <w:rPr>
                <w:rFonts w:hint="eastAsia" w:ascii="宋体" w:hAnsi="宋体" w:cs="宋体"/>
                <w:b/>
                <w:bCs/>
                <w:kern w:val="0"/>
                <w:sz w:val="24"/>
              </w:rPr>
              <w:t>数量</w:t>
            </w:r>
          </w:p>
        </w:tc>
        <w:tc>
          <w:tcPr>
            <w:tcW w:w="707" w:type="dxa"/>
            <w:noWrap/>
            <w:vAlign w:val="center"/>
          </w:tcPr>
          <w:p w14:paraId="3F63AAAC">
            <w:pPr>
              <w:jc w:val="center"/>
              <w:rPr>
                <w:rFonts w:hint="eastAsia" w:ascii="宋体" w:hAnsi="宋体" w:cs="宋体"/>
                <w:b/>
                <w:bCs/>
                <w:kern w:val="0"/>
                <w:sz w:val="24"/>
              </w:rPr>
            </w:pPr>
            <w:r>
              <w:rPr>
                <w:rFonts w:hint="eastAsia" w:ascii="宋体" w:hAnsi="宋体" w:cs="宋体"/>
                <w:b/>
                <w:bCs/>
                <w:kern w:val="0"/>
                <w:sz w:val="24"/>
              </w:rPr>
              <w:t>单价</w:t>
            </w:r>
          </w:p>
        </w:tc>
        <w:tc>
          <w:tcPr>
            <w:tcW w:w="1399" w:type="dxa"/>
            <w:noWrap/>
            <w:vAlign w:val="center"/>
          </w:tcPr>
          <w:p w14:paraId="6D974C38">
            <w:pPr>
              <w:jc w:val="center"/>
              <w:rPr>
                <w:rFonts w:hint="eastAsia" w:ascii="宋体" w:hAnsi="宋体" w:cs="宋体"/>
                <w:b/>
                <w:bCs/>
                <w:kern w:val="0"/>
                <w:sz w:val="24"/>
              </w:rPr>
            </w:pPr>
            <w:r>
              <w:rPr>
                <w:rFonts w:hint="eastAsia" w:ascii="宋体" w:hAnsi="宋体" w:cs="宋体"/>
                <w:b/>
                <w:bCs/>
                <w:kern w:val="0"/>
                <w:sz w:val="24"/>
              </w:rPr>
              <w:t>金额小计</w:t>
            </w:r>
          </w:p>
        </w:tc>
        <w:tc>
          <w:tcPr>
            <w:tcW w:w="1506" w:type="dxa"/>
            <w:noWrap/>
            <w:vAlign w:val="center"/>
          </w:tcPr>
          <w:p w14:paraId="6053E1F9">
            <w:pPr>
              <w:jc w:val="center"/>
              <w:rPr>
                <w:rFonts w:hint="eastAsia" w:ascii="宋体" w:hAnsi="宋体" w:cs="宋体"/>
                <w:b/>
                <w:bCs/>
                <w:kern w:val="0"/>
                <w:sz w:val="24"/>
              </w:rPr>
            </w:pPr>
            <w:r>
              <w:rPr>
                <w:rFonts w:hint="eastAsia" w:ascii="宋体" w:hAnsi="宋体" w:cs="宋体"/>
                <w:b/>
                <w:bCs/>
                <w:kern w:val="0"/>
                <w:sz w:val="24"/>
              </w:rPr>
              <w:t>备注</w:t>
            </w:r>
            <w:r>
              <w:rPr>
                <w:rFonts w:hint="eastAsia" w:ascii="宋体" w:hAnsi="宋体" w:cs="宋体"/>
                <w:b/>
                <w:szCs w:val="21"/>
              </w:rPr>
              <w:t>（是否为主要标的）</w:t>
            </w:r>
          </w:p>
        </w:tc>
      </w:tr>
      <w:tr w14:paraId="68C0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226" w:type="dxa"/>
            <w:noWrap/>
            <w:vAlign w:val="center"/>
          </w:tcPr>
          <w:p w14:paraId="606E7346">
            <w:pPr>
              <w:jc w:val="center"/>
              <w:rPr>
                <w:rFonts w:hint="eastAsia" w:ascii="宋体" w:hAnsi="宋体" w:cs="宋体"/>
                <w:kern w:val="0"/>
                <w:sz w:val="24"/>
              </w:rPr>
            </w:pPr>
            <w:r>
              <w:rPr>
                <w:rFonts w:hint="eastAsia" w:ascii="宋体" w:hAnsi="宋体" w:cs="宋体"/>
                <w:kern w:val="0"/>
                <w:sz w:val="24"/>
              </w:rPr>
              <w:t>1</w:t>
            </w:r>
          </w:p>
        </w:tc>
        <w:tc>
          <w:tcPr>
            <w:tcW w:w="1230" w:type="dxa"/>
            <w:noWrap/>
            <w:vAlign w:val="center"/>
          </w:tcPr>
          <w:p w14:paraId="08493580">
            <w:pPr>
              <w:jc w:val="center"/>
              <w:rPr>
                <w:rFonts w:hint="eastAsia" w:ascii="宋体" w:hAnsi="宋体" w:cs="宋体"/>
                <w:kern w:val="0"/>
                <w:sz w:val="24"/>
              </w:rPr>
            </w:pPr>
          </w:p>
        </w:tc>
        <w:tc>
          <w:tcPr>
            <w:tcW w:w="1335" w:type="dxa"/>
            <w:noWrap/>
            <w:vAlign w:val="center"/>
          </w:tcPr>
          <w:p w14:paraId="7B9626A5">
            <w:pPr>
              <w:jc w:val="center"/>
              <w:rPr>
                <w:rFonts w:hint="eastAsia" w:ascii="宋体" w:hAnsi="宋体" w:cs="宋体"/>
                <w:kern w:val="0"/>
                <w:sz w:val="24"/>
              </w:rPr>
            </w:pPr>
          </w:p>
        </w:tc>
        <w:tc>
          <w:tcPr>
            <w:tcW w:w="705" w:type="dxa"/>
            <w:noWrap/>
            <w:vAlign w:val="center"/>
          </w:tcPr>
          <w:p w14:paraId="4A557C28">
            <w:pPr>
              <w:jc w:val="center"/>
              <w:rPr>
                <w:rFonts w:hint="eastAsia" w:ascii="宋体" w:hAnsi="宋体" w:cs="宋体"/>
                <w:kern w:val="0"/>
                <w:sz w:val="24"/>
              </w:rPr>
            </w:pPr>
          </w:p>
        </w:tc>
        <w:tc>
          <w:tcPr>
            <w:tcW w:w="975" w:type="dxa"/>
          </w:tcPr>
          <w:p w14:paraId="4C88D9E1">
            <w:pPr>
              <w:jc w:val="center"/>
              <w:rPr>
                <w:rFonts w:hint="eastAsia" w:ascii="宋体" w:hAnsi="宋体" w:cs="宋体"/>
                <w:kern w:val="0"/>
                <w:sz w:val="24"/>
              </w:rPr>
            </w:pPr>
          </w:p>
        </w:tc>
        <w:tc>
          <w:tcPr>
            <w:tcW w:w="705" w:type="dxa"/>
            <w:noWrap/>
            <w:vAlign w:val="center"/>
          </w:tcPr>
          <w:p w14:paraId="391B744A">
            <w:pPr>
              <w:jc w:val="center"/>
              <w:rPr>
                <w:rFonts w:hint="eastAsia" w:ascii="宋体" w:hAnsi="宋体" w:cs="宋体"/>
                <w:kern w:val="0"/>
                <w:sz w:val="24"/>
              </w:rPr>
            </w:pPr>
          </w:p>
        </w:tc>
        <w:tc>
          <w:tcPr>
            <w:tcW w:w="735" w:type="dxa"/>
            <w:noWrap/>
            <w:vAlign w:val="center"/>
          </w:tcPr>
          <w:p w14:paraId="6D4915C5">
            <w:pPr>
              <w:jc w:val="center"/>
              <w:rPr>
                <w:rFonts w:hint="eastAsia" w:ascii="宋体" w:hAnsi="宋体" w:cs="宋体"/>
                <w:kern w:val="0"/>
                <w:sz w:val="24"/>
              </w:rPr>
            </w:pPr>
          </w:p>
        </w:tc>
        <w:tc>
          <w:tcPr>
            <w:tcW w:w="707" w:type="dxa"/>
            <w:noWrap/>
            <w:vAlign w:val="center"/>
          </w:tcPr>
          <w:p w14:paraId="27D50D12">
            <w:pPr>
              <w:jc w:val="center"/>
              <w:rPr>
                <w:rFonts w:hint="eastAsia" w:ascii="宋体" w:hAnsi="宋体" w:cs="宋体"/>
                <w:kern w:val="0"/>
                <w:sz w:val="24"/>
              </w:rPr>
            </w:pPr>
          </w:p>
        </w:tc>
        <w:tc>
          <w:tcPr>
            <w:tcW w:w="1399" w:type="dxa"/>
            <w:noWrap/>
            <w:vAlign w:val="center"/>
          </w:tcPr>
          <w:p w14:paraId="33633199">
            <w:pPr>
              <w:jc w:val="center"/>
              <w:rPr>
                <w:rFonts w:hint="eastAsia" w:ascii="宋体" w:hAnsi="宋体" w:cs="宋体"/>
                <w:kern w:val="0"/>
                <w:sz w:val="24"/>
              </w:rPr>
            </w:pPr>
          </w:p>
        </w:tc>
        <w:tc>
          <w:tcPr>
            <w:tcW w:w="1506" w:type="dxa"/>
            <w:noWrap/>
            <w:vAlign w:val="center"/>
          </w:tcPr>
          <w:p w14:paraId="7F728E0C">
            <w:pPr>
              <w:jc w:val="center"/>
              <w:rPr>
                <w:rFonts w:hint="eastAsia" w:ascii="宋体" w:hAnsi="宋体" w:cs="宋体"/>
                <w:kern w:val="0"/>
                <w:sz w:val="24"/>
              </w:rPr>
            </w:pPr>
          </w:p>
        </w:tc>
      </w:tr>
      <w:tr w14:paraId="05D3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226" w:type="dxa"/>
            <w:noWrap/>
            <w:vAlign w:val="center"/>
          </w:tcPr>
          <w:p w14:paraId="3991A90A">
            <w:pPr>
              <w:jc w:val="center"/>
              <w:rPr>
                <w:rFonts w:hint="eastAsia" w:ascii="宋体" w:hAnsi="宋体" w:cs="宋体"/>
                <w:kern w:val="0"/>
                <w:sz w:val="24"/>
              </w:rPr>
            </w:pPr>
            <w:r>
              <w:rPr>
                <w:rFonts w:hint="eastAsia" w:ascii="宋体" w:hAnsi="宋体" w:cs="宋体"/>
                <w:kern w:val="0"/>
                <w:sz w:val="24"/>
              </w:rPr>
              <w:t>2</w:t>
            </w:r>
          </w:p>
        </w:tc>
        <w:tc>
          <w:tcPr>
            <w:tcW w:w="1230" w:type="dxa"/>
            <w:noWrap/>
            <w:vAlign w:val="center"/>
          </w:tcPr>
          <w:p w14:paraId="240EC059">
            <w:pPr>
              <w:jc w:val="center"/>
              <w:rPr>
                <w:rFonts w:hint="eastAsia" w:ascii="宋体" w:hAnsi="宋体" w:cs="宋体"/>
                <w:kern w:val="0"/>
                <w:sz w:val="24"/>
              </w:rPr>
            </w:pPr>
          </w:p>
        </w:tc>
        <w:tc>
          <w:tcPr>
            <w:tcW w:w="1335" w:type="dxa"/>
            <w:noWrap/>
            <w:vAlign w:val="center"/>
          </w:tcPr>
          <w:p w14:paraId="64F5D665">
            <w:pPr>
              <w:jc w:val="center"/>
              <w:rPr>
                <w:rFonts w:hint="eastAsia" w:ascii="宋体" w:hAnsi="宋体" w:cs="宋体"/>
                <w:kern w:val="0"/>
                <w:sz w:val="24"/>
              </w:rPr>
            </w:pPr>
          </w:p>
        </w:tc>
        <w:tc>
          <w:tcPr>
            <w:tcW w:w="705" w:type="dxa"/>
            <w:noWrap/>
            <w:vAlign w:val="center"/>
          </w:tcPr>
          <w:p w14:paraId="462EC625">
            <w:pPr>
              <w:jc w:val="center"/>
              <w:rPr>
                <w:rFonts w:hint="eastAsia" w:ascii="宋体" w:hAnsi="宋体" w:cs="宋体"/>
                <w:kern w:val="0"/>
                <w:sz w:val="24"/>
              </w:rPr>
            </w:pPr>
          </w:p>
        </w:tc>
        <w:tc>
          <w:tcPr>
            <w:tcW w:w="975" w:type="dxa"/>
          </w:tcPr>
          <w:p w14:paraId="0B745109">
            <w:pPr>
              <w:jc w:val="center"/>
              <w:rPr>
                <w:rFonts w:hint="eastAsia" w:ascii="宋体" w:hAnsi="宋体" w:cs="宋体"/>
                <w:kern w:val="0"/>
                <w:sz w:val="24"/>
              </w:rPr>
            </w:pPr>
          </w:p>
        </w:tc>
        <w:tc>
          <w:tcPr>
            <w:tcW w:w="705" w:type="dxa"/>
            <w:noWrap/>
            <w:vAlign w:val="center"/>
          </w:tcPr>
          <w:p w14:paraId="085586B6">
            <w:pPr>
              <w:jc w:val="center"/>
              <w:rPr>
                <w:rFonts w:hint="eastAsia" w:ascii="宋体" w:hAnsi="宋体" w:cs="宋体"/>
                <w:kern w:val="0"/>
                <w:sz w:val="24"/>
              </w:rPr>
            </w:pPr>
          </w:p>
        </w:tc>
        <w:tc>
          <w:tcPr>
            <w:tcW w:w="735" w:type="dxa"/>
            <w:noWrap/>
            <w:vAlign w:val="center"/>
          </w:tcPr>
          <w:p w14:paraId="541DAFAF">
            <w:pPr>
              <w:jc w:val="center"/>
              <w:rPr>
                <w:rFonts w:hint="eastAsia" w:ascii="宋体" w:hAnsi="宋体" w:cs="宋体"/>
                <w:kern w:val="0"/>
                <w:sz w:val="24"/>
              </w:rPr>
            </w:pPr>
          </w:p>
        </w:tc>
        <w:tc>
          <w:tcPr>
            <w:tcW w:w="707" w:type="dxa"/>
            <w:noWrap/>
            <w:vAlign w:val="center"/>
          </w:tcPr>
          <w:p w14:paraId="11E9B5ED">
            <w:pPr>
              <w:jc w:val="center"/>
              <w:rPr>
                <w:rFonts w:hint="eastAsia" w:ascii="宋体" w:hAnsi="宋体" w:cs="宋体"/>
                <w:kern w:val="0"/>
                <w:sz w:val="24"/>
              </w:rPr>
            </w:pPr>
          </w:p>
        </w:tc>
        <w:tc>
          <w:tcPr>
            <w:tcW w:w="1399" w:type="dxa"/>
            <w:noWrap/>
            <w:vAlign w:val="center"/>
          </w:tcPr>
          <w:p w14:paraId="4DF50769">
            <w:pPr>
              <w:jc w:val="center"/>
              <w:rPr>
                <w:rFonts w:hint="eastAsia" w:ascii="宋体" w:hAnsi="宋体" w:cs="宋体"/>
                <w:kern w:val="0"/>
                <w:sz w:val="24"/>
              </w:rPr>
            </w:pPr>
          </w:p>
        </w:tc>
        <w:tc>
          <w:tcPr>
            <w:tcW w:w="1506" w:type="dxa"/>
            <w:noWrap/>
            <w:vAlign w:val="center"/>
          </w:tcPr>
          <w:p w14:paraId="4C2A1778">
            <w:pPr>
              <w:jc w:val="center"/>
              <w:rPr>
                <w:rFonts w:hint="eastAsia" w:ascii="宋体" w:hAnsi="宋体" w:cs="宋体"/>
                <w:kern w:val="0"/>
                <w:sz w:val="24"/>
              </w:rPr>
            </w:pPr>
          </w:p>
        </w:tc>
      </w:tr>
      <w:tr w14:paraId="7B1E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3" w:hRule="atLeast"/>
          <w:jc w:val="center"/>
        </w:trPr>
        <w:tc>
          <w:tcPr>
            <w:tcW w:w="1226" w:type="dxa"/>
            <w:noWrap/>
            <w:vAlign w:val="center"/>
          </w:tcPr>
          <w:p w14:paraId="1057F69F">
            <w:pPr>
              <w:jc w:val="center"/>
              <w:rPr>
                <w:rFonts w:hint="eastAsia" w:ascii="宋体" w:hAnsi="宋体" w:cs="宋体"/>
                <w:kern w:val="0"/>
                <w:sz w:val="24"/>
              </w:rPr>
            </w:pPr>
            <w:r>
              <w:rPr>
                <w:rFonts w:hint="eastAsia" w:ascii="宋体" w:hAnsi="宋体" w:cs="宋体"/>
                <w:kern w:val="0"/>
                <w:sz w:val="24"/>
              </w:rPr>
              <w:t>3</w:t>
            </w:r>
          </w:p>
        </w:tc>
        <w:tc>
          <w:tcPr>
            <w:tcW w:w="1230" w:type="dxa"/>
            <w:noWrap/>
            <w:vAlign w:val="center"/>
          </w:tcPr>
          <w:p w14:paraId="199CF6C6">
            <w:pPr>
              <w:jc w:val="center"/>
              <w:rPr>
                <w:rFonts w:hint="eastAsia" w:ascii="宋体" w:hAnsi="宋体" w:cs="宋体"/>
                <w:kern w:val="0"/>
                <w:sz w:val="24"/>
              </w:rPr>
            </w:pPr>
          </w:p>
        </w:tc>
        <w:tc>
          <w:tcPr>
            <w:tcW w:w="1335" w:type="dxa"/>
            <w:noWrap/>
            <w:vAlign w:val="center"/>
          </w:tcPr>
          <w:p w14:paraId="35B3C892">
            <w:pPr>
              <w:jc w:val="center"/>
              <w:rPr>
                <w:rFonts w:hint="eastAsia" w:ascii="宋体" w:hAnsi="宋体" w:cs="宋体"/>
                <w:kern w:val="0"/>
                <w:sz w:val="24"/>
              </w:rPr>
            </w:pPr>
          </w:p>
        </w:tc>
        <w:tc>
          <w:tcPr>
            <w:tcW w:w="705" w:type="dxa"/>
            <w:noWrap/>
            <w:vAlign w:val="center"/>
          </w:tcPr>
          <w:p w14:paraId="4D225D2F">
            <w:pPr>
              <w:jc w:val="center"/>
              <w:rPr>
                <w:rFonts w:hint="eastAsia" w:ascii="宋体" w:hAnsi="宋体" w:cs="宋体"/>
                <w:kern w:val="0"/>
                <w:sz w:val="24"/>
              </w:rPr>
            </w:pPr>
          </w:p>
        </w:tc>
        <w:tc>
          <w:tcPr>
            <w:tcW w:w="975" w:type="dxa"/>
          </w:tcPr>
          <w:p w14:paraId="3A5DAD3D">
            <w:pPr>
              <w:jc w:val="center"/>
              <w:rPr>
                <w:rFonts w:hint="eastAsia" w:ascii="宋体" w:hAnsi="宋体" w:cs="宋体"/>
                <w:kern w:val="0"/>
                <w:sz w:val="24"/>
              </w:rPr>
            </w:pPr>
          </w:p>
        </w:tc>
        <w:tc>
          <w:tcPr>
            <w:tcW w:w="705" w:type="dxa"/>
            <w:noWrap/>
            <w:vAlign w:val="center"/>
          </w:tcPr>
          <w:p w14:paraId="36CBDCD8">
            <w:pPr>
              <w:jc w:val="center"/>
              <w:rPr>
                <w:rFonts w:hint="eastAsia" w:ascii="宋体" w:hAnsi="宋体" w:cs="宋体"/>
                <w:kern w:val="0"/>
                <w:sz w:val="24"/>
              </w:rPr>
            </w:pPr>
          </w:p>
        </w:tc>
        <w:tc>
          <w:tcPr>
            <w:tcW w:w="735" w:type="dxa"/>
            <w:noWrap/>
            <w:vAlign w:val="center"/>
          </w:tcPr>
          <w:p w14:paraId="45E42296">
            <w:pPr>
              <w:jc w:val="center"/>
              <w:rPr>
                <w:rFonts w:hint="eastAsia" w:ascii="宋体" w:hAnsi="宋体" w:cs="宋体"/>
                <w:kern w:val="0"/>
                <w:sz w:val="24"/>
              </w:rPr>
            </w:pPr>
          </w:p>
        </w:tc>
        <w:tc>
          <w:tcPr>
            <w:tcW w:w="707" w:type="dxa"/>
            <w:noWrap/>
            <w:vAlign w:val="center"/>
          </w:tcPr>
          <w:p w14:paraId="5C0F9F58">
            <w:pPr>
              <w:jc w:val="center"/>
              <w:rPr>
                <w:rFonts w:hint="eastAsia" w:ascii="宋体" w:hAnsi="宋体" w:cs="宋体"/>
                <w:kern w:val="0"/>
                <w:sz w:val="24"/>
              </w:rPr>
            </w:pPr>
          </w:p>
        </w:tc>
        <w:tc>
          <w:tcPr>
            <w:tcW w:w="1399" w:type="dxa"/>
            <w:noWrap/>
            <w:vAlign w:val="center"/>
          </w:tcPr>
          <w:p w14:paraId="5E60DE6A">
            <w:pPr>
              <w:jc w:val="center"/>
              <w:rPr>
                <w:rFonts w:hint="eastAsia" w:ascii="宋体" w:hAnsi="宋体" w:cs="宋体"/>
                <w:kern w:val="0"/>
                <w:sz w:val="24"/>
              </w:rPr>
            </w:pPr>
          </w:p>
        </w:tc>
        <w:tc>
          <w:tcPr>
            <w:tcW w:w="1506" w:type="dxa"/>
            <w:noWrap/>
            <w:vAlign w:val="center"/>
          </w:tcPr>
          <w:p w14:paraId="4541747B">
            <w:pPr>
              <w:jc w:val="center"/>
              <w:rPr>
                <w:rFonts w:hint="eastAsia" w:ascii="宋体" w:hAnsi="宋体" w:cs="宋体"/>
                <w:kern w:val="0"/>
                <w:sz w:val="24"/>
              </w:rPr>
            </w:pPr>
          </w:p>
        </w:tc>
      </w:tr>
      <w:tr w14:paraId="00FD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3" w:hRule="atLeast"/>
          <w:jc w:val="center"/>
        </w:trPr>
        <w:tc>
          <w:tcPr>
            <w:tcW w:w="1226" w:type="dxa"/>
            <w:noWrap/>
            <w:vAlign w:val="center"/>
          </w:tcPr>
          <w:p w14:paraId="57BD934B">
            <w:pPr>
              <w:snapToGrid w:val="0"/>
              <w:spacing w:line="360" w:lineRule="auto"/>
              <w:jc w:val="center"/>
              <w:rPr>
                <w:rFonts w:hint="eastAsia" w:ascii="宋体" w:hAnsi="宋体" w:cs="宋体"/>
                <w:sz w:val="24"/>
              </w:rPr>
            </w:pPr>
            <w:r>
              <w:rPr>
                <w:rFonts w:hint="eastAsia" w:ascii="宋体" w:hAnsi="宋体" w:cs="宋体"/>
                <w:sz w:val="24"/>
              </w:rPr>
              <w:t>...</w:t>
            </w:r>
          </w:p>
        </w:tc>
        <w:tc>
          <w:tcPr>
            <w:tcW w:w="1230" w:type="dxa"/>
            <w:noWrap/>
            <w:vAlign w:val="center"/>
          </w:tcPr>
          <w:p w14:paraId="1EC8807C">
            <w:pPr>
              <w:snapToGrid w:val="0"/>
              <w:spacing w:line="360" w:lineRule="auto"/>
              <w:jc w:val="center"/>
              <w:rPr>
                <w:rFonts w:hint="eastAsia" w:ascii="宋体" w:hAnsi="宋体" w:cs="宋体"/>
                <w:sz w:val="24"/>
              </w:rPr>
            </w:pPr>
          </w:p>
        </w:tc>
        <w:tc>
          <w:tcPr>
            <w:tcW w:w="1335" w:type="dxa"/>
            <w:noWrap/>
            <w:vAlign w:val="center"/>
          </w:tcPr>
          <w:p w14:paraId="0CF5DF87">
            <w:pPr>
              <w:snapToGrid w:val="0"/>
              <w:spacing w:line="360" w:lineRule="auto"/>
              <w:jc w:val="center"/>
              <w:rPr>
                <w:rFonts w:hint="eastAsia" w:ascii="宋体" w:hAnsi="宋体" w:cs="宋体"/>
                <w:sz w:val="24"/>
              </w:rPr>
            </w:pPr>
          </w:p>
        </w:tc>
        <w:tc>
          <w:tcPr>
            <w:tcW w:w="705" w:type="dxa"/>
            <w:noWrap/>
            <w:vAlign w:val="center"/>
          </w:tcPr>
          <w:p w14:paraId="4F8D06A6">
            <w:pPr>
              <w:snapToGrid w:val="0"/>
              <w:spacing w:line="360" w:lineRule="auto"/>
              <w:jc w:val="center"/>
              <w:rPr>
                <w:rFonts w:hint="eastAsia" w:ascii="宋体" w:hAnsi="宋体" w:cs="宋体"/>
                <w:sz w:val="24"/>
              </w:rPr>
            </w:pPr>
          </w:p>
        </w:tc>
        <w:tc>
          <w:tcPr>
            <w:tcW w:w="975" w:type="dxa"/>
          </w:tcPr>
          <w:p w14:paraId="7044E884">
            <w:pPr>
              <w:snapToGrid w:val="0"/>
              <w:spacing w:line="360" w:lineRule="auto"/>
              <w:jc w:val="center"/>
              <w:rPr>
                <w:rFonts w:hint="eastAsia" w:ascii="宋体" w:hAnsi="宋体" w:cs="宋体"/>
                <w:sz w:val="24"/>
              </w:rPr>
            </w:pPr>
          </w:p>
        </w:tc>
        <w:tc>
          <w:tcPr>
            <w:tcW w:w="705" w:type="dxa"/>
            <w:noWrap/>
            <w:vAlign w:val="center"/>
          </w:tcPr>
          <w:p w14:paraId="1E990478">
            <w:pPr>
              <w:snapToGrid w:val="0"/>
              <w:spacing w:line="360" w:lineRule="auto"/>
              <w:jc w:val="center"/>
              <w:rPr>
                <w:rFonts w:hint="eastAsia" w:ascii="宋体" w:hAnsi="宋体" w:cs="宋体"/>
                <w:sz w:val="24"/>
              </w:rPr>
            </w:pPr>
          </w:p>
        </w:tc>
        <w:tc>
          <w:tcPr>
            <w:tcW w:w="735" w:type="dxa"/>
            <w:noWrap/>
            <w:vAlign w:val="center"/>
          </w:tcPr>
          <w:p w14:paraId="6F4D3473">
            <w:pPr>
              <w:snapToGrid w:val="0"/>
              <w:spacing w:line="360" w:lineRule="auto"/>
              <w:jc w:val="center"/>
              <w:rPr>
                <w:rFonts w:hint="eastAsia" w:ascii="宋体" w:hAnsi="宋体" w:cs="宋体"/>
                <w:sz w:val="24"/>
              </w:rPr>
            </w:pPr>
          </w:p>
        </w:tc>
        <w:tc>
          <w:tcPr>
            <w:tcW w:w="707" w:type="dxa"/>
            <w:noWrap/>
            <w:vAlign w:val="center"/>
          </w:tcPr>
          <w:p w14:paraId="7FE21D34">
            <w:pPr>
              <w:snapToGrid w:val="0"/>
              <w:spacing w:line="360" w:lineRule="auto"/>
              <w:jc w:val="center"/>
              <w:rPr>
                <w:rFonts w:hint="eastAsia" w:ascii="宋体" w:hAnsi="宋体" w:cs="宋体"/>
                <w:sz w:val="24"/>
              </w:rPr>
            </w:pPr>
          </w:p>
        </w:tc>
        <w:tc>
          <w:tcPr>
            <w:tcW w:w="1399" w:type="dxa"/>
            <w:noWrap/>
            <w:vAlign w:val="center"/>
          </w:tcPr>
          <w:p w14:paraId="208756CB">
            <w:pPr>
              <w:snapToGrid w:val="0"/>
              <w:spacing w:line="360" w:lineRule="auto"/>
              <w:jc w:val="center"/>
              <w:rPr>
                <w:rFonts w:hint="eastAsia" w:ascii="宋体" w:hAnsi="宋体" w:cs="宋体"/>
                <w:sz w:val="24"/>
              </w:rPr>
            </w:pPr>
          </w:p>
        </w:tc>
        <w:tc>
          <w:tcPr>
            <w:tcW w:w="1506" w:type="dxa"/>
            <w:noWrap/>
            <w:vAlign w:val="center"/>
          </w:tcPr>
          <w:p w14:paraId="031969D0">
            <w:pPr>
              <w:snapToGrid w:val="0"/>
              <w:spacing w:line="360" w:lineRule="auto"/>
              <w:jc w:val="center"/>
              <w:rPr>
                <w:rFonts w:hint="eastAsia" w:ascii="宋体" w:hAnsi="宋体" w:cs="宋体"/>
                <w:sz w:val="24"/>
              </w:rPr>
            </w:pPr>
          </w:p>
        </w:tc>
      </w:tr>
      <w:tr w14:paraId="552AE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226" w:type="dxa"/>
            <w:noWrap/>
            <w:vAlign w:val="center"/>
          </w:tcPr>
          <w:p w14:paraId="074E5144">
            <w:pPr>
              <w:snapToGrid w:val="0"/>
              <w:spacing w:line="360" w:lineRule="auto"/>
              <w:jc w:val="center"/>
              <w:rPr>
                <w:rFonts w:hint="eastAsia" w:ascii="宋体" w:hAnsi="宋体" w:cs="宋体"/>
                <w:sz w:val="24"/>
              </w:rPr>
            </w:pPr>
            <w:r>
              <w:rPr>
                <w:rFonts w:hint="eastAsia" w:ascii="宋体" w:hAnsi="宋体" w:cs="宋体"/>
                <w:b/>
                <w:bCs/>
                <w:sz w:val="24"/>
              </w:rPr>
              <w:t>金额合计</w:t>
            </w:r>
          </w:p>
        </w:tc>
        <w:tc>
          <w:tcPr>
            <w:tcW w:w="9297" w:type="dxa"/>
            <w:gridSpan w:val="9"/>
          </w:tcPr>
          <w:p w14:paraId="62904EC6">
            <w:pPr>
              <w:snapToGrid w:val="0"/>
              <w:spacing w:line="360" w:lineRule="auto"/>
              <w:jc w:val="center"/>
              <w:rPr>
                <w:rFonts w:hint="eastAsia" w:ascii="宋体" w:hAnsi="宋体" w:cs="宋体"/>
                <w:sz w:val="24"/>
              </w:rPr>
            </w:pPr>
          </w:p>
        </w:tc>
      </w:tr>
    </w:tbl>
    <w:p w14:paraId="6AFA8EBB">
      <w:pPr>
        <w:snapToGrid w:val="0"/>
        <w:spacing w:line="360" w:lineRule="auto"/>
        <w:rPr>
          <w:rFonts w:hint="eastAsia" w:ascii="宋体" w:hAnsi="宋体" w:cs="宋体"/>
          <w:b/>
          <w:sz w:val="24"/>
        </w:rPr>
      </w:pPr>
    </w:p>
    <w:p w14:paraId="2942965E">
      <w:pPr>
        <w:snapToGrid w:val="0"/>
        <w:spacing w:line="360" w:lineRule="auto"/>
        <w:rPr>
          <w:rFonts w:hint="eastAsia" w:ascii="宋体" w:hAnsi="宋体" w:cs="宋体"/>
          <w:b/>
          <w:sz w:val="24"/>
          <w:lang w:val="zh-CN"/>
        </w:rPr>
      </w:pPr>
      <w:r>
        <w:rPr>
          <w:rFonts w:hint="eastAsia" w:ascii="宋体" w:hAnsi="宋体" w:cs="宋体"/>
          <w:b/>
          <w:sz w:val="24"/>
        </w:rPr>
        <w:t>注： 1.本项目一次性报价，</w:t>
      </w:r>
      <w:r>
        <w:rPr>
          <w:rFonts w:hint="eastAsia" w:ascii="宋体" w:hAnsi="宋体" w:cs="宋体"/>
          <w:b/>
          <w:sz w:val="24"/>
          <w:lang w:val="zh-CN"/>
        </w:rPr>
        <w:t>响应供应商必须详细报出采购清单中各个子项的名称、规格、工程量、单价、备注中的内容等，且本表各分项报价合计应当与询价报价表中的响应总报价相等。请各供应商务必按照以上要求填报，否则作为无效投标处理。</w:t>
      </w:r>
    </w:p>
    <w:p w14:paraId="7A8F667E">
      <w:pPr>
        <w:adjustRightInd w:val="0"/>
        <w:snapToGrid w:val="0"/>
        <w:spacing w:line="360" w:lineRule="auto"/>
        <w:ind w:firstLine="600" w:firstLineChars="250"/>
        <w:jc w:val="left"/>
        <w:rPr>
          <w:rFonts w:hint="eastAsia" w:ascii="宋体" w:hAnsi="宋体" w:cs="宋体"/>
          <w:b/>
          <w:bCs/>
          <w:sz w:val="24"/>
        </w:rPr>
      </w:pPr>
      <w:r>
        <w:rPr>
          <w:rFonts w:hint="eastAsia" w:ascii="宋体" w:hAnsi="宋体" w:cs="宋体"/>
          <w:b/>
          <w:bCs/>
          <w:sz w:val="24"/>
        </w:rPr>
        <w:t>2.</w:t>
      </w:r>
      <w:r>
        <w:rPr>
          <w:rFonts w:hint="eastAsia" w:ascii="宋体" w:hAnsi="宋体" w:cs="宋体"/>
          <w:b/>
          <w:sz w:val="24"/>
          <w:lang w:val="zh-CN"/>
        </w:rPr>
        <w:t xml:space="preserve"> 供应商须详细备注主要标的信息。内容不实的，属于提供虚假材料谋取中标、成交，依照《中华人民共和国政府采购法》等国家有关规定追究相应责任。</w:t>
      </w:r>
    </w:p>
    <w:p w14:paraId="6A5BE183">
      <w:pPr>
        <w:adjustRightInd w:val="0"/>
        <w:snapToGrid w:val="0"/>
        <w:spacing w:line="312" w:lineRule="auto"/>
        <w:ind w:firstLine="3360" w:firstLineChars="1400"/>
        <w:jc w:val="left"/>
        <w:rPr>
          <w:rFonts w:hint="eastAsia" w:ascii="宋体" w:hAnsi="宋体" w:cs="宋体"/>
          <w:sz w:val="24"/>
        </w:rPr>
      </w:pPr>
    </w:p>
    <w:p w14:paraId="61E7549A">
      <w:pPr>
        <w:adjustRightInd w:val="0"/>
        <w:snapToGrid w:val="0"/>
        <w:spacing w:line="312" w:lineRule="auto"/>
        <w:ind w:firstLine="3360" w:firstLineChars="1400"/>
        <w:jc w:val="left"/>
        <w:rPr>
          <w:rFonts w:hint="eastAsia" w:ascii="宋体" w:hAnsi="宋体" w:cs="宋体"/>
          <w:sz w:val="24"/>
        </w:rPr>
      </w:pPr>
    </w:p>
    <w:p w14:paraId="02A57503">
      <w:pPr>
        <w:adjustRightInd w:val="0"/>
        <w:snapToGrid w:val="0"/>
        <w:spacing w:line="312" w:lineRule="auto"/>
        <w:ind w:firstLine="3360" w:firstLineChars="1400"/>
        <w:jc w:val="left"/>
        <w:rPr>
          <w:rFonts w:hint="eastAsia" w:ascii="宋体" w:hAnsi="宋体" w:cs="宋体"/>
          <w:b/>
          <w:bCs/>
          <w:sz w:val="24"/>
          <w:u w:val="single"/>
        </w:rPr>
      </w:pPr>
      <w:r>
        <w:rPr>
          <w:rFonts w:hint="eastAsia" w:ascii="宋体" w:hAnsi="宋体" w:cs="宋体"/>
          <w:sz w:val="24"/>
        </w:rPr>
        <w:t>响应供应商全称（盖公章）：</w:t>
      </w:r>
    </w:p>
    <w:p w14:paraId="20869822">
      <w:pPr>
        <w:adjustRightInd w:val="0"/>
        <w:snapToGrid w:val="0"/>
        <w:spacing w:line="312" w:lineRule="auto"/>
        <w:ind w:firstLine="3360" w:firstLineChars="1400"/>
        <w:jc w:val="left"/>
        <w:rPr>
          <w:rFonts w:hint="eastAsia" w:ascii="宋体" w:hAnsi="宋体" w:cs="宋体"/>
          <w:sz w:val="24"/>
        </w:rPr>
      </w:pPr>
      <w:r>
        <w:rPr>
          <w:rFonts w:hint="eastAsia" w:ascii="宋体" w:hAnsi="宋体" w:cs="宋体"/>
          <w:sz w:val="24"/>
        </w:rPr>
        <w:t xml:space="preserve">法定代表人（签字或盖章）： </w:t>
      </w:r>
    </w:p>
    <w:p w14:paraId="668711FD">
      <w:pPr>
        <w:adjustRightInd w:val="0"/>
        <w:snapToGrid w:val="0"/>
        <w:spacing w:line="312" w:lineRule="auto"/>
        <w:ind w:firstLine="3360" w:firstLineChars="1400"/>
        <w:jc w:val="left"/>
        <w:rPr>
          <w:rFonts w:hint="eastAsia" w:ascii="宋体" w:hAnsi="宋体" w:cs="宋体"/>
          <w:sz w:val="24"/>
        </w:rPr>
      </w:pPr>
      <w:r>
        <w:rPr>
          <w:rFonts w:hint="eastAsia" w:ascii="宋体" w:hAnsi="宋体" w:cs="宋体"/>
          <w:sz w:val="24"/>
        </w:rPr>
        <w:t>日期：年月日</w:t>
      </w:r>
    </w:p>
    <w:p w14:paraId="66CA0C3F">
      <w:pPr>
        <w:rPr>
          <w:rFonts w:hint="eastAsia" w:ascii="宋体" w:hAnsi="宋体" w:cs="宋体"/>
          <w:sz w:val="32"/>
          <w:szCs w:val="32"/>
        </w:rPr>
      </w:pPr>
      <w:r>
        <w:rPr>
          <w:rFonts w:hint="eastAsia" w:ascii="宋体" w:hAnsi="宋体" w:cs="宋体"/>
          <w:sz w:val="32"/>
          <w:szCs w:val="32"/>
        </w:rPr>
        <w:br w:type="page"/>
      </w:r>
    </w:p>
    <w:p w14:paraId="7044B7F5">
      <w:pPr>
        <w:snapToGrid w:val="0"/>
        <w:spacing w:line="300" w:lineRule="auto"/>
        <w:outlineLvl w:val="0"/>
        <w:rPr>
          <w:rFonts w:hint="eastAsia" w:ascii="宋体" w:hAnsi="宋体" w:cs="宋体"/>
          <w:sz w:val="32"/>
          <w:szCs w:val="32"/>
        </w:rPr>
      </w:pPr>
      <w:r>
        <w:rPr>
          <w:rFonts w:hint="eastAsia" w:ascii="宋体" w:hAnsi="宋体" w:cs="宋体"/>
          <w:sz w:val="32"/>
          <w:szCs w:val="32"/>
        </w:rPr>
        <w:t>附件10</w:t>
      </w:r>
    </w:p>
    <w:p w14:paraId="17522180">
      <w:pPr>
        <w:snapToGrid w:val="0"/>
        <w:spacing w:line="300" w:lineRule="auto"/>
        <w:jc w:val="center"/>
        <w:outlineLvl w:val="0"/>
        <w:rPr>
          <w:rFonts w:ascii="Times New Roman" w:hAnsi="Times New Roman"/>
          <w:b/>
          <w:bCs/>
          <w:sz w:val="28"/>
          <w:szCs w:val="28"/>
          <w:lang w:bidi="zh-CN"/>
        </w:rPr>
      </w:pPr>
      <w:r>
        <w:rPr>
          <w:rFonts w:ascii="Times New Roman" w:hAnsi="Times New Roman"/>
          <w:b/>
          <w:bCs/>
          <w:sz w:val="28"/>
          <w:szCs w:val="28"/>
          <w:lang w:bidi="zh-CN"/>
        </w:rPr>
        <w:t>中小企业声明函（货物）</w:t>
      </w:r>
    </w:p>
    <w:p w14:paraId="44DBE9C4">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本公司（联合体）郑重声明，根据《政府采购促进中小企业发展管理办法》（财库</w:t>
      </w:r>
      <w:r>
        <w:rPr>
          <w:rFonts w:hint="eastAsia" w:ascii="宋体" w:hAnsi="宋体"/>
          <w:sz w:val="28"/>
          <w:szCs w:val="28"/>
        </w:rPr>
        <w:t>〔</w:t>
      </w:r>
      <w:r>
        <w:rPr>
          <w:rFonts w:ascii="Times New Roman" w:hAnsi="Times New Roman"/>
          <w:sz w:val="28"/>
          <w:szCs w:val="28"/>
          <w:lang w:bidi="zh-CN"/>
        </w:rPr>
        <w:t>2020</w:t>
      </w:r>
      <w:r>
        <w:rPr>
          <w:rFonts w:hint="eastAsia" w:ascii="宋体" w:hAnsi="宋体"/>
          <w:sz w:val="28"/>
          <w:szCs w:val="28"/>
        </w:rPr>
        <w:t>〕</w:t>
      </w:r>
      <w:r>
        <w:rPr>
          <w:rFonts w:ascii="Times New Roman" w:hAnsi="Times New Roman"/>
          <w:sz w:val="28"/>
          <w:szCs w:val="28"/>
          <w:lang w:bidi="zh-CN"/>
        </w:rPr>
        <w:t>46号）的规定，本公司（联合体）参加</w:t>
      </w:r>
      <w:r>
        <w:rPr>
          <w:rFonts w:ascii="Times New Roman" w:hAnsi="Times New Roman"/>
          <w:sz w:val="28"/>
          <w:szCs w:val="28"/>
          <w:u w:val="single"/>
          <w:lang w:bidi="zh-CN"/>
        </w:rPr>
        <w:t>（单位名称）</w:t>
      </w:r>
      <w:r>
        <w:rPr>
          <w:rFonts w:ascii="Times New Roman" w:hAnsi="Times New Roman"/>
          <w:sz w:val="28"/>
          <w:szCs w:val="28"/>
          <w:lang w:bidi="zh-CN"/>
        </w:rPr>
        <w:t>的</w:t>
      </w:r>
      <w:r>
        <w:rPr>
          <w:rFonts w:ascii="Times New Roman" w:hAnsi="Times New Roman"/>
          <w:sz w:val="28"/>
          <w:szCs w:val="28"/>
          <w:u w:val="single"/>
          <w:lang w:bidi="zh-CN"/>
        </w:rPr>
        <w:t>（项目名称）</w:t>
      </w:r>
      <w:r>
        <w:rPr>
          <w:rFonts w:ascii="Times New Roman" w:hAnsi="Times New Roman"/>
          <w:sz w:val="28"/>
          <w:szCs w:val="28"/>
          <w:lang w:bidi="zh-CN"/>
        </w:rPr>
        <w:t>采购活动，提供的货物全部由符合政策要求的中小</w:t>
      </w:r>
      <w:r>
        <w:rPr>
          <w:rFonts w:hint="eastAsia"/>
          <w:sz w:val="28"/>
          <w:szCs w:val="28"/>
          <w:lang w:bidi="zh-CN"/>
        </w:rPr>
        <w:t>微</w:t>
      </w:r>
      <w:r>
        <w:rPr>
          <w:rFonts w:ascii="Times New Roman" w:hAnsi="Times New Roman"/>
          <w:sz w:val="28"/>
          <w:szCs w:val="28"/>
          <w:lang w:bidi="zh-CN"/>
        </w:rPr>
        <w:t>企业制造。相关企业（含联合体中的中小</w:t>
      </w:r>
      <w:r>
        <w:rPr>
          <w:rFonts w:hint="eastAsia"/>
          <w:sz w:val="28"/>
          <w:szCs w:val="28"/>
          <w:lang w:bidi="zh-CN"/>
        </w:rPr>
        <w:t>微</w:t>
      </w:r>
      <w:r>
        <w:rPr>
          <w:rFonts w:ascii="Times New Roman" w:hAnsi="Times New Roman"/>
          <w:sz w:val="28"/>
          <w:szCs w:val="28"/>
          <w:lang w:bidi="zh-CN"/>
        </w:rPr>
        <w:t>企业、签订分包意向协议的中小</w:t>
      </w:r>
      <w:r>
        <w:rPr>
          <w:rFonts w:hint="eastAsia"/>
          <w:sz w:val="28"/>
          <w:szCs w:val="28"/>
          <w:lang w:bidi="zh-CN"/>
        </w:rPr>
        <w:t>微</w:t>
      </w:r>
      <w:r>
        <w:rPr>
          <w:rFonts w:ascii="Times New Roman" w:hAnsi="Times New Roman"/>
          <w:sz w:val="28"/>
          <w:szCs w:val="28"/>
          <w:lang w:bidi="zh-CN"/>
        </w:rPr>
        <w:t>企业）的具体情况如下：</w:t>
      </w:r>
    </w:p>
    <w:p w14:paraId="43A3DBDF">
      <w:pPr>
        <w:snapToGrid w:val="0"/>
        <w:spacing w:line="360" w:lineRule="auto"/>
        <w:outlineLvl w:val="0"/>
        <w:rPr>
          <w:rFonts w:ascii="Times New Roman" w:hAnsi="Times New Roman"/>
          <w:sz w:val="28"/>
          <w:szCs w:val="28"/>
          <w:lang w:bidi="zh-CN"/>
        </w:rPr>
      </w:pPr>
      <w:r>
        <w:rPr>
          <w:rFonts w:hint="eastAsia" w:ascii="Times New Roman" w:hAnsi="Times New Roman"/>
          <w:sz w:val="28"/>
          <w:szCs w:val="28"/>
          <w:lang w:bidi="zh-CN"/>
        </w:rPr>
        <w:t>1.</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行业；制造商为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hint="eastAsia" w:ascii="宋体" w:hAnsi="宋体"/>
          <w:bCs/>
          <w:color w:val="000000"/>
          <w:sz w:val="24"/>
          <w:szCs w:val="21"/>
          <w:u w:val="single"/>
        </w:rPr>
        <w:t>______</w:t>
      </w:r>
      <w:r>
        <w:rPr>
          <w:rFonts w:ascii="Times New Roman" w:hAnsi="Times New Roman"/>
          <w:sz w:val="28"/>
          <w:szCs w:val="28"/>
          <w:lang w:bidi="zh-CN"/>
        </w:rPr>
        <w:t>人，营业收入为</w:t>
      </w:r>
      <w:r>
        <w:rPr>
          <w:rFonts w:hint="eastAsia" w:ascii="宋体" w:hAnsi="宋体"/>
          <w:bCs/>
          <w:color w:val="000000"/>
          <w:sz w:val="24"/>
          <w:szCs w:val="21"/>
          <w:u w:val="single"/>
        </w:rPr>
        <w:t>______</w:t>
      </w:r>
      <w:r>
        <w:rPr>
          <w:rFonts w:ascii="Times New Roman" w:hAnsi="Times New Roman"/>
          <w:sz w:val="28"/>
          <w:szCs w:val="28"/>
          <w:lang w:bidi="zh-CN"/>
        </w:rPr>
        <w:t>万元，资产总额为</w:t>
      </w:r>
      <w:r>
        <w:rPr>
          <w:rFonts w:hint="eastAsia" w:ascii="宋体" w:hAnsi="宋体"/>
          <w:bCs/>
          <w:color w:val="000000"/>
          <w:sz w:val="24"/>
          <w:szCs w:val="21"/>
          <w:u w:val="single"/>
        </w:rPr>
        <w:t>______</w:t>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14:paraId="0036C16C">
      <w:pPr>
        <w:snapToGrid w:val="0"/>
        <w:spacing w:line="360" w:lineRule="auto"/>
        <w:outlineLvl w:val="0"/>
        <w:rPr>
          <w:rFonts w:ascii="Times New Roman" w:hAnsi="Times New Roman"/>
          <w:sz w:val="28"/>
          <w:szCs w:val="28"/>
          <w:lang w:bidi="zh-CN"/>
        </w:rPr>
      </w:pPr>
      <w:r>
        <w:rPr>
          <w:rFonts w:hint="eastAsia" w:ascii="Times New Roman" w:hAnsi="Times New Roman"/>
          <w:sz w:val="28"/>
          <w:szCs w:val="28"/>
          <w:lang w:bidi="zh-CN"/>
        </w:rPr>
        <w:t>2.</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行业；制造商为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hint="eastAsia" w:ascii="宋体" w:hAnsi="宋体"/>
          <w:bCs/>
          <w:color w:val="000000"/>
          <w:sz w:val="24"/>
          <w:szCs w:val="21"/>
          <w:u w:val="single"/>
        </w:rPr>
        <w:t>______</w:t>
      </w:r>
      <w:r>
        <w:rPr>
          <w:rFonts w:ascii="Times New Roman" w:hAnsi="Times New Roman"/>
          <w:sz w:val="28"/>
          <w:szCs w:val="28"/>
          <w:lang w:bidi="zh-CN"/>
        </w:rPr>
        <w:t>人，营业收入为</w:t>
      </w:r>
      <w:r>
        <w:rPr>
          <w:rFonts w:hint="eastAsia" w:ascii="宋体" w:hAnsi="宋体"/>
          <w:bCs/>
          <w:color w:val="000000"/>
          <w:sz w:val="24"/>
          <w:szCs w:val="21"/>
          <w:u w:val="single"/>
        </w:rPr>
        <w:t>______</w:t>
      </w:r>
      <w:r>
        <w:rPr>
          <w:rFonts w:ascii="Times New Roman" w:hAnsi="Times New Roman"/>
          <w:sz w:val="28"/>
          <w:szCs w:val="28"/>
          <w:lang w:bidi="zh-CN"/>
        </w:rPr>
        <w:t>万元，资产总额为</w:t>
      </w:r>
      <w:r>
        <w:rPr>
          <w:rFonts w:hint="eastAsia" w:ascii="宋体" w:hAnsi="宋体"/>
          <w:bCs/>
          <w:color w:val="000000"/>
          <w:sz w:val="24"/>
          <w:szCs w:val="21"/>
          <w:u w:val="single"/>
        </w:rPr>
        <w:t>______</w:t>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14:paraId="4FA703AE">
      <w:pPr>
        <w:snapToGrid w:val="0"/>
        <w:spacing w:line="360" w:lineRule="auto"/>
        <w:outlineLvl w:val="0"/>
        <w:rPr>
          <w:rFonts w:ascii="Times New Roman" w:hAnsi="Times New Roman"/>
          <w:sz w:val="28"/>
          <w:szCs w:val="28"/>
          <w:lang w:bidi="zh-CN"/>
        </w:rPr>
      </w:pPr>
      <w:r>
        <w:rPr>
          <w:rFonts w:ascii="Times New Roman" w:hAnsi="Times New Roman"/>
          <w:sz w:val="28"/>
          <w:szCs w:val="28"/>
          <w:lang w:bidi="zh-CN"/>
        </w:rPr>
        <w:t>……</w:t>
      </w:r>
    </w:p>
    <w:p w14:paraId="554513EF">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以上企业，不属于大企业的分支机构，不存在控股股东为大企业的情形，也不存在与大企业的负责人为同一人的情形。</w:t>
      </w:r>
    </w:p>
    <w:p w14:paraId="561AAB5D">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本企业对上述声明内容的真实性负责。如有虚假，将依法承担相应责任。</w:t>
      </w:r>
    </w:p>
    <w:p w14:paraId="582CEC12">
      <w:pPr>
        <w:snapToGrid w:val="0"/>
        <w:spacing w:line="300" w:lineRule="auto"/>
        <w:outlineLvl w:val="0"/>
        <w:rPr>
          <w:rFonts w:ascii="Times New Roman" w:hAnsi="Times New Roman"/>
          <w:sz w:val="28"/>
          <w:szCs w:val="28"/>
          <w:lang w:bidi="zh-CN"/>
        </w:rPr>
      </w:pPr>
    </w:p>
    <w:p w14:paraId="4E694DD9">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注：1.从业人员、营业收入、资产总额填报上一年度数据，无上一年度数据的新成立企业可不填报。</w:t>
      </w:r>
    </w:p>
    <w:p w14:paraId="38DC5978">
      <w:pPr>
        <w:snapToGrid w:val="0"/>
        <w:spacing w:line="300" w:lineRule="auto"/>
        <w:ind w:firstLine="420" w:firstLineChars="200"/>
        <w:outlineLvl w:val="0"/>
        <w:rPr>
          <w:rFonts w:hint="eastAsia" w:ascii="宋体" w:hAnsi="宋体" w:cs="宋体"/>
          <w:szCs w:val="21"/>
          <w:lang w:bidi="zh-CN"/>
        </w:rPr>
      </w:pPr>
      <w:r>
        <w:rPr>
          <w:rFonts w:ascii="宋体" w:hAnsi="宋体" w:cs="宋体"/>
          <w:szCs w:val="21"/>
          <w:lang w:bidi="zh-CN"/>
        </w:rPr>
        <w:t>2</w:t>
      </w:r>
      <w:r>
        <w:rPr>
          <w:rFonts w:hint="eastAsia" w:ascii="宋体" w:hAnsi="宋体" w:cs="宋体"/>
          <w:szCs w:val="21"/>
          <w:lang w:bidi="zh-CN"/>
        </w:rPr>
        <w:t>.投标供应商须根据上述要求，详细列明货物清单中所有产品制造商的具体情况，否则不能享受中小微企业扶持政策。</w:t>
      </w:r>
    </w:p>
    <w:p w14:paraId="7861300D">
      <w:pPr>
        <w:snapToGrid w:val="0"/>
        <w:spacing w:line="300" w:lineRule="auto"/>
        <w:ind w:firstLine="420" w:firstLineChars="200"/>
        <w:outlineLvl w:val="0"/>
        <w:rPr>
          <w:rFonts w:ascii="Times New Roman" w:hAnsi="Times New Roman"/>
          <w:sz w:val="28"/>
          <w:szCs w:val="28"/>
          <w:lang w:bidi="zh-CN"/>
        </w:rPr>
      </w:pPr>
      <w:r>
        <w:rPr>
          <w:rFonts w:ascii="宋体" w:hAnsi="宋体" w:cs="宋体"/>
          <w:szCs w:val="21"/>
          <w:lang w:bidi="zh-CN"/>
        </w:rPr>
        <w:t>3</w:t>
      </w:r>
      <w:r>
        <w:rPr>
          <w:rFonts w:hint="eastAsia" w:ascii="宋体" w:hAnsi="宋体" w:cs="宋体"/>
          <w:szCs w:val="21"/>
          <w:lang w:bidi="zh-CN"/>
        </w:rPr>
        <w:t>.中标</w:t>
      </w:r>
      <w:r>
        <w:rPr>
          <w:rFonts w:ascii="宋体" w:hAnsi="宋体" w:cs="宋体"/>
          <w:szCs w:val="21"/>
          <w:lang w:bidi="zh-CN"/>
        </w:rPr>
        <w:t>（</w:t>
      </w:r>
      <w:r>
        <w:rPr>
          <w:rFonts w:hint="eastAsia" w:ascii="宋体" w:hAnsi="宋体" w:cs="宋体"/>
          <w:szCs w:val="21"/>
          <w:lang w:bidi="zh-CN"/>
        </w:rPr>
        <w:t>成交</w:t>
      </w:r>
      <w:r>
        <w:rPr>
          <w:rFonts w:ascii="宋体" w:hAnsi="宋体" w:cs="宋体"/>
          <w:szCs w:val="21"/>
          <w:lang w:bidi="zh-CN"/>
        </w:rPr>
        <w:t>）</w:t>
      </w:r>
      <w:r>
        <w:rPr>
          <w:rFonts w:hint="eastAsia" w:ascii="宋体" w:hAnsi="宋体" w:cs="宋体"/>
          <w:szCs w:val="21"/>
          <w:lang w:bidi="zh-CN"/>
        </w:rPr>
        <w:t>供应商的《中小企业声明函》将随中标（成交）结果公告进行公示。供应商按照本办法规定提供声明函内容不实的，属于提供虚假材料谋取中标、成交，依照《中华人民共和国政府采购法》等国家有关规定追究相应责任。</w:t>
      </w:r>
    </w:p>
    <w:p w14:paraId="437D4C4C">
      <w:pPr>
        <w:snapToGrid w:val="0"/>
        <w:spacing w:line="300" w:lineRule="auto"/>
        <w:jc w:val="center"/>
        <w:outlineLvl w:val="0"/>
        <w:rPr>
          <w:rFonts w:ascii="Times New Roman" w:hAnsi="Times New Roman"/>
          <w:sz w:val="28"/>
          <w:szCs w:val="28"/>
          <w:lang w:bidi="zh-CN"/>
        </w:rPr>
      </w:pPr>
      <w:r>
        <w:rPr>
          <w:rFonts w:hint="eastAsia" w:ascii="Times New Roman" w:hAnsi="Times New Roman"/>
          <w:sz w:val="28"/>
          <w:szCs w:val="28"/>
          <w:lang w:bidi="zh-CN"/>
        </w:rPr>
        <w:t xml:space="preserve">                      </w:t>
      </w:r>
      <w:r>
        <w:rPr>
          <w:rFonts w:ascii="Times New Roman" w:hAnsi="Times New Roman"/>
          <w:sz w:val="28"/>
          <w:szCs w:val="28"/>
          <w:lang w:bidi="zh-CN"/>
        </w:rPr>
        <w:t>企业名称（盖章）：</w:t>
      </w:r>
    </w:p>
    <w:p w14:paraId="38E4D6E7">
      <w:pPr>
        <w:snapToGrid w:val="0"/>
        <w:spacing w:line="300" w:lineRule="auto"/>
        <w:jc w:val="center"/>
        <w:outlineLvl w:val="0"/>
        <w:rPr>
          <w:rFonts w:ascii="Times New Roman" w:hAnsi="Times New Roman"/>
          <w:sz w:val="28"/>
          <w:szCs w:val="28"/>
          <w:lang w:bidi="zh-CN"/>
        </w:rPr>
      </w:pPr>
      <w:r>
        <w:rPr>
          <w:rFonts w:hint="eastAsia" w:ascii="Times New Roman" w:hAnsi="Times New Roman"/>
          <w:sz w:val="28"/>
          <w:szCs w:val="28"/>
          <w:lang w:bidi="zh-CN"/>
        </w:rPr>
        <w:t xml:space="preserve">          </w:t>
      </w:r>
      <w:r>
        <w:rPr>
          <w:rFonts w:ascii="Times New Roman" w:hAnsi="Times New Roman"/>
          <w:sz w:val="28"/>
          <w:szCs w:val="28"/>
          <w:lang w:bidi="zh-CN"/>
        </w:rPr>
        <w:t>日期：</w:t>
      </w:r>
    </w:p>
    <w:p w14:paraId="3E1526D9">
      <w:pPr>
        <w:snapToGrid w:val="0"/>
        <w:spacing w:line="300" w:lineRule="auto"/>
        <w:outlineLvl w:val="0"/>
        <w:rPr>
          <w:rFonts w:ascii="Times New Roman" w:hAnsi="Times New Roman" w:eastAsia="方正黑体_GBK"/>
          <w:sz w:val="32"/>
          <w:szCs w:val="32"/>
        </w:rPr>
      </w:pPr>
    </w:p>
    <w:p w14:paraId="4C801EE2">
      <w:pPr>
        <w:snapToGrid w:val="0"/>
        <w:spacing w:line="300" w:lineRule="auto"/>
        <w:outlineLvl w:val="0"/>
        <w:rPr>
          <w:rFonts w:ascii="Times New Roman" w:hAnsi="Times New Roman" w:eastAsia="方正黑体_GBK"/>
          <w:sz w:val="32"/>
          <w:szCs w:val="32"/>
        </w:rPr>
      </w:pPr>
      <w:r>
        <w:rPr>
          <w:rFonts w:ascii="Times New Roman" w:hAnsi="Times New Roman" w:eastAsia="方正黑体_GBK"/>
          <w:sz w:val="32"/>
          <w:szCs w:val="32"/>
        </w:rPr>
        <w:t>附件1</w:t>
      </w:r>
      <w:r>
        <w:rPr>
          <w:rFonts w:hint="eastAsia" w:ascii="Times New Roman" w:hAnsi="Times New Roman" w:eastAsia="方正黑体_GBK"/>
          <w:sz w:val="32"/>
          <w:szCs w:val="32"/>
        </w:rPr>
        <w:t>1</w:t>
      </w:r>
    </w:p>
    <w:p w14:paraId="6A2DABF3">
      <w:pPr>
        <w:spacing w:line="460" w:lineRule="exact"/>
        <w:jc w:val="center"/>
        <w:rPr>
          <w:rFonts w:hint="eastAsia" w:ascii="宋体" w:hAnsi="宋体"/>
          <w:b/>
          <w:sz w:val="32"/>
          <w:szCs w:val="32"/>
        </w:rPr>
      </w:pPr>
      <w:r>
        <w:rPr>
          <w:rFonts w:hint="eastAsia" w:ascii="宋体" w:hAnsi="宋体"/>
          <w:b/>
          <w:sz w:val="32"/>
          <w:szCs w:val="32"/>
        </w:rPr>
        <w:t>残疾人福利性单位声明函</w:t>
      </w:r>
    </w:p>
    <w:p w14:paraId="752A8009">
      <w:pPr>
        <w:spacing w:line="588" w:lineRule="exact"/>
        <w:ind w:firstLine="560" w:firstLineChars="200"/>
        <w:rPr>
          <w:rFonts w:hint="eastAsia" w:ascii="宋体" w:hAnsi="宋体"/>
          <w:sz w:val="28"/>
          <w:szCs w:val="28"/>
        </w:rPr>
      </w:pPr>
      <w:r>
        <w:rPr>
          <w:rFonts w:hint="eastAsia" w:ascii="宋体" w:hAnsi="宋体"/>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bCs/>
          <w:color w:val="000000"/>
          <w:sz w:val="24"/>
          <w:szCs w:val="21"/>
          <w:u w:val="single"/>
        </w:rPr>
        <w:t>________</w:t>
      </w:r>
      <w:r>
        <w:rPr>
          <w:rFonts w:hint="eastAsia" w:ascii="宋体" w:hAnsi="宋体"/>
          <w:sz w:val="28"/>
          <w:szCs w:val="28"/>
        </w:rPr>
        <w:t>项目采购活动提供本单位制造的货物（由本单位承担工程/提供服务），或者提供其他残疾人福利性单位制造的货物（不包括使用非残疾人福利性单位注册商标的货物）。</w:t>
      </w:r>
    </w:p>
    <w:p w14:paraId="7A7ED5A6">
      <w:pPr>
        <w:spacing w:line="588" w:lineRule="exact"/>
        <w:ind w:firstLine="560" w:firstLineChars="200"/>
        <w:rPr>
          <w:rFonts w:hint="eastAsia" w:ascii="宋体" w:hAnsi="宋体"/>
          <w:sz w:val="28"/>
          <w:szCs w:val="28"/>
        </w:rPr>
      </w:pPr>
      <w:r>
        <w:rPr>
          <w:rFonts w:hint="eastAsia" w:ascii="宋体" w:hAnsi="宋体"/>
          <w:sz w:val="28"/>
          <w:szCs w:val="28"/>
        </w:rPr>
        <w:t>本单位对上述声明的真实性负责。如有虚假，将依法承担相应责任。</w:t>
      </w:r>
    </w:p>
    <w:p w14:paraId="6ED72F39">
      <w:pPr>
        <w:spacing w:line="588" w:lineRule="exact"/>
        <w:ind w:firstLine="560" w:firstLineChars="200"/>
        <w:rPr>
          <w:rFonts w:hint="eastAsia" w:ascii="宋体" w:hAnsi="宋体"/>
          <w:sz w:val="28"/>
          <w:szCs w:val="28"/>
        </w:rPr>
      </w:pPr>
    </w:p>
    <w:p w14:paraId="503B8987">
      <w:pPr>
        <w:spacing w:line="588" w:lineRule="exact"/>
        <w:ind w:firstLine="584" w:firstLineChars="200"/>
        <w:rPr>
          <w:rFonts w:ascii="仿宋_GB2312" w:hAnsi="Times New Roman" w:eastAsia="仿宋_GB2312"/>
          <w:spacing w:val="6"/>
          <w:sz w:val="28"/>
          <w:szCs w:val="28"/>
        </w:rPr>
      </w:pPr>
    </w:p>
    <w:p w14:paraId="1717E892">
      <w:pPr>
        <w:spacing w:line="588" w:lineRule="exact"/>
        <w:ind w:firstLine="584" w:firstLineChars="200"/>
        <w:rPr>
          <w:rFonts w:ascii="仿宋_GB2312" w:hAnsi="Times New Roman" w:eastAsia="仿宋_GB2312"/>
          <w:spacing w:val="6"/>
          <w:sz w:val="28"/>
          <w:szCs w:val="28"/>
        </w:rPr>
      </w:pPr>
    </w:p>
    <w:p w14:paraId="0B41EB6E">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7AF18BE3">
      <w:pPr>
        <w:spacing w:line="588" w:lineRule="exact"/>
        <w:ind w:firstLine="560" w:firstLineChars="200"/>
        <w:rPr>
          <w:rFonts w:ascii="仿宋_GB2312" w:hAnsi="Times New Roman" w:eastAsia="仿宋_GB2312"/>
          <w:spacing w:val="6"/>
          <w:sz w:val="28"/>
          <w:szCs w:val="28"/>
        </w:rPr>
      </w:pPr>
      <w:r>
        <w:rPr>
          <w:rFonts w:hint="eastAsia" w:ascii="宋体" w:hAnsi="宋体" w:cs="宋体"/>
          <w:sz w:val="28"/>
          <w:szCs w:val="28"/>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1F9074C2">
      <w:pPr>
        <w:spacing w:line="588" w:lineRule="exact"/>
        <w:ind w:firstLine="584" w:firstLineChars="200"/>
        <w:rPr>
          <w:rFonts w:ascii="仿宋_GB2312" w:hAnsi="Times New Roman" w:eastAsia="仿宋_GB2312"/>
          <w:spacing w:val="6"/>
          <w:sz w:val="28"/>
          <w:szCs w:val="28"/>
        </w:rPr>
      </w:pPr>
    </w:p>
    <w:p w14:paraId="03DC0288">
      <w:pPr>
        <w:tabs>
          <w:tab w:val="left" w:pos="4860"/>
        </w:tabs>
        <w:spacing w:line="588" w:lineRule="exact"/>
        <w:ind w:right="1560" w:firstLine="584" w:firstLineChars="200"/>
        <w:jc w:val="center"/>
        <w:rPr>
          <w:rFonts w:hint="eastAsia"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p>
    <w:p w14:paraId="2A59DCE5">
      <w:pPr>
        <w:tabs>
          <w:tab w:val="left" w:pos="4860"/>
        </w:tabs>
        <w:spacing w:line="588" w:lineRule="exact"/>
        <w:ind w:right="1560" w:firstLine="560" w:firstLineChars="200"/>
        <w:jc w:val="center"/>
        <w:rPr>
          <w:rFonts w:hint="eastAsia" w:ascii="宋体" w:hAnsi="宋体"/>
          <w:sz w:val="28"/>
          <w:szCs w:val="28"/>
        </w:rPr>
      </w:pPr>
      <w:r>
        <w:rPr>
          <w:rFonts w:hint="eastAsia" w:ascii="宋体" w:hAnsi="宋体"/>
          <w:sz w:val="28"/>
          <w:szCs w:val="28"/>
        </w:rPr>
        <w:t xml:space="preserve">              日  期：</w:t>
      </w:r>
    </w:p>
    <w:p w14:paraId="547C0D97">
      <w:pPr>
        <w:snapToGrid w:val="0"/>
        <w:spacing w:line="300" w:lineRule="auto"/>
        <w:outlineLvl w:val="0"/>
        <w:rPr>
          <w:rFonts w:ascii="Times New Roman" w:hAnsi="Times New Roman"/>
          <w:sz w:val="28"/>
          <w:szCs w:val="28"/>
        </w:rPr>
      </w:pPr>
    </w:p>
    <w:p w14:paraId="36222FE0">
      <w:pPr>
        <w:snapToGrid w:val="0"/>
        <w:spacing w:line="300" w:lineRule="auto"/>
        <w:outlineLvl w:val="0"/>
        <w:rPr>
          <w:rFonts w:ascii="Times New Roman" w:hAnsi="Times New Roman" w:eastAsia="方正黑体_GBK"/>
          <w:sz w:val="32"/>
          <w:szCs w:val="32"/>
        </w:rPr>
      </w:pPr>
    </w:p>
    <w:p w14:paraId="58936BEE">
      <w:pPr>
        <w:snapToGrid w:val="0"/>
        <w:spacing w:line="300" w:lineRule="auto"/>
        <w:outlineLvl w:val="0"/>
        <w:rPr>
          <w:rFonts w:ascii="Times New Roman" w:hAnsi="Times New Roman" w:eastAsia="方正黑体_GBK"/>
          <w:sz w:val="32"/>
          <w:szCs w:val="32"/>
        </w:rPr>
      </w:pPr>
    </w:p>
    <w:p w14:paraId="2AA07536">
      <w:pPr>
        <w:snapToGrid w:val="0"/>
        <w:spacing w:line="300" w:lineRule="auto"/>
        <w:outlineLvl w:val="0"/>
        <w:rPr>
          <w:rFonts w:ascii="Times New Roman" w:hAnsi="Times New Roman" w:eastAsia="方正黑体_GBK"/>
          <w:sz w:val="32"/>
          <w:szCs w:val="32"/>
        </w:rPr>
      </w:pPr>
    </w:p>
    <w:p w14:paraId="68BD53BC">
      <w:pPr>
        <w:snapToGrid w:val="0"/>
        <w:spacing w:line="300" w:lineRule="auto"/>
        <w:outlineLvl w:val="0"/>
        <w:rPr>
          <w:rFonts w:ascii="Times New Roman" w:hAnsi="Times New Roman" w:eastAsia="方正黑体_GBK"/>
          <w:sz w:val="32"/>
          <w:szCs w:val="32"/>
        </w:rPr>
      </w:pPr>
      <w:r>
        <w:rPr>
          <w:rFonts w:ascii="Times New Roman" w:hAnsi="Times New Roman" w:eastAsia="方正黑体_GBK"/>
          <w:sz w:val="32"/>
          <w:szCs w:val="32"/>
        </w:rPr>
        <w:t>附件1</w:t>
      </w:r>
      <w:r>
        <w:rPr>
          <w:rFonts w:hint="eastAsia" w:ascii="Times New Roman" w:hAnsi="Times New Roman" w:eastAsia="方正黑体_GBK"/>
          <w:sz w:val="32"/>
          <w:szCs w:val="32"/>
        </w:rPr>
        <w:t>2</w:t>
      </w:r>
    </w:p>
    <w:p w14:paraId="42423933">
      <w:pPr>
        <w:snapToGrid w:val="0"/>
        <w:spacing w:line="420" w:lineRule="exact"/>
        <w:jc w:val="center"/>
        <w:outlineLvl w:val="3"/>
        <w:rPr>
          <w:b/>
          <w:bCs/>
          <w:sz w:val="32"/>
          <w:szCs w:val="32"/>
        </w:rPr>
      </w:pPr>
      <w:r>
        <w:rPr>
          <w:rFonts w:hint="eastAsia"/>
          <w:b/>
          <w:bCs/>
          <w:sz w:val="32"/>
          <w:szCs w:val="32"/>
        </w:rPr>
        <w:t>监狱和戒毒企业证明材料</w:t>
      </w:r>
    </w:p>
    <w:p w14:paraId="01993492">
      <w:pPr>
        <w:snapToGrid w:val="0"/>
        <w:spacing w:line="420" w:lineRule="exact"/>
        <w:ind w:firstLine="495" w:firstLineChars="177"/>
        <w:rPr>
          <w:rFonts w:hint="eastAsia" w:ascii="宋体" w:hAnsi="宋体" w:cs="宋体"/>
          <w:sz w:val="28"/>
          <w:szCs w:val="28"/>
        </w:rPr>
      </w:pPr>
    </w:p>
    <w:p w14:paraId="6D826CC0">
      <w:pPr>
        <w:snapToGrid w:val="0"/>
        <w:spacing w:line="420" w:lineRule="exact"/>
        <w:ind w:firstLine="495" w:firstLineChars="177"/>
        <w:rPr>
          <w:rFonts w:hint="eastAsia" w:ascii="宋体" w:hAnsi="宋体" w:cs="宋体"/>
          <w:b/>
          <w:sz w:val="28"/>
          <w:szCs w:val="28"/>
        </w:rPr>
      </w:pPr>
      <w:r>
        <w:rPr>
          <w:rFonts w:hint="eastAsia" w:ascii="宋体" w:hAnsi="宋体" w:cs="宋体"/>
          <w:b/>
          <w:sz w:val="28"/>
          <w:szCs w:val="28"/>
        </w:rPr>
        <w:t>（格式自拟）</w:t>
      </w:r>
    </w:p>
    <w:p w14:paraId="3F92E5EE">
      <w:pPr>
        <w:snapToGrid w:val="0"/>
        <w:spacing w:line="420" w:lineRule="exact"/>
        <w:ind w:firstLine="495" w:firstLineChars="177"/>
        <w:rPr>
          <w:rFonts w:hint="eastAsia" w:ascii="宋体" w:hAnsi="宋体" w:cs="宋体"/>
          <w:sz w:val="28"/>
          <w:szCs w:val="28"/>
        </w:rPr>
      </w:pPr>
    </w:p>
    <w:p w14:paraId="018BBB4C">
      <w:pPr>
        <w:snapToGrid w:val="0"/>
        <w:spacing w:line="420" w:lineRule="exact"/>
        <w:ind w:firstLine="660" w:firstLineChars="236"/>
        <w:rPr>
          <w:rFonts w:hint="eastAsia"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89D124C">
      <w:pPr>
        <w:pStyle w:val="2"/>
      </w:pPr>
    </w:p>
    <w:p w14:paraId="6CD3D695"/>
    <w:p w14:paraId="15DC09CB">
      <w:pPr>
        <w:pStyle w:val="2"/>
      </w:pPr>
    </w:p>
    <w:p w14:paraId="3570675F">
      <w:pPr>
        <w:snapToGrid w:val="0"/>
        <w:spacing w:line="300" w:lineRule="auto"/>
        <w:outlineLvl w:val="0"/>
        <w:rPr>
          <w:rFonts w:ascii="Times New Roman" w:hAnsi="Times New Roman"/>
          <w:sz w:val="28"/>
          <w:szCs w:val="28"/>
        </w:rPr>
      </w:pPr>
    </w:p>
    <w:p w14:paraId="343A6AF3">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4025B209">
      <w:pPr>
        <w:snapToGrid w:val="0"/>
        <w:spacing w:line="300" w:lineRule="auto"/>
        <w:ind w:firstLine="560" w:firstLineChars="200"/>
        <w:outlineLvl w:val="0"/>
        <w:rPr>
          <w:rFonts w:hint="eastAsia" w:ascii="宋体" w:hAnsi="宋体" w:cs="宋体"/>
          <w:sz w:val="28"/>
          <w:szCs w:val="28"/>
        </w:rPr>
      </w:pPr>
      <w:r>
        <w:rPr>
          <w:rFonts w:hint="eastAsia" w:ascii="宋体" w:hAnsi="宋体" w:cs="宋体"/>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012BE13C">
      <w:pPr>
        <w:snapToGrid w:val="0"/>
        <w:spacing w:line="300" w:lineRule="auto"/>
        <w:outlineLvl w:val="0"/>
        <w:rPr>
          <w:rFonts w:hint="eastAsia" w:ascii="宋体" w:hAnsi="宋体" w:cs="宋体"/>
          <w:sz w:val="28"/>
          <w:szCs w:val="28"/>
        </w:rPr>
      </w:pPr>
    </w:p>
    <w:p w14:paraId="0B6C65BC">
      <w:pPr>
        <w:snapToGrid w:val="0"/>
        <w:spacing w:line="300" w:lineRule="auto"/>
        <w:outlineLvl w:val="0"/>
        <w:rPr>
          <w:rFonts w:hint="eastAsia" w:ascii="宋体" w:hAnsi="宋体" w:cs="宋体"/>
          <w:sz w:val="28"/>
          <w:szCs w:val="28"/>
        </w:rPr>
      </w:pPr>
    </w:p>
    <w:p w14:paraId="588793D8">
      <w:pPr>
        <w:snapToGrid w:val="0"/>
        <w:spacing w:line="300" w:lineRule="auto"/>
        <w:outlineLvl w:val="0"/>
        <w:rPr>
          <w:rFonts w:hint="eastAsia" w:ascii="宋体" w:hAnsi="宋体" w:cs="宋体"/>
          <w:sz w:val="28"/>
          <w:szCs w:val="28"/>
        </w:rPr>
      </w:pPr>
    </w:p>
    <w:p w14:paraId="643FB3CC">
      <w:pPr>
        <w:snapToGrid w:val="0"/>
        <w:spacing w:line="300" w:lineRule="auto"/>
        <w:outlineLvl w:val="0"/>
        <w:rPr>
          <w:rFonts w:hint="eastAsia" w:ascii="宋体" w:hAnsi="宋体" w:cs="宋体"/>
          <w:sz w:val="28"/>
          <w:szCs w:val="28"/>
        </w:rPr>
      </w:pPr>
    </w:p>
    <w:p w14:paraId="7AE19809">
      <w:pPr>
        <w:snapToGrid w:val="0"/>
        <w:spacing w:line="300" w:lineRule="auto"/>
        <w:outlineLvl w:val="0"/>
        <w:rPr>
          <w:rFonts w:hint="eastAsia" w:ascii="宋体" w:hAnsi="宋体" w:cs="宋体"/>
          <w:sz w:val="28"/>
          <w:szCs w:val="28"/>
        </w:rPr>
      </w:pPr>
    </w:p>
    <w:p w14:paraId="3B9285EF">
      <w:pPr>
        <w:snapToGrid w:val="0"/>
        <w:spacing w:line="300" w:lineRule="auto"/>
        <w:outlineLvl w:val="0"/>
        <w:rPr>
          <w:rFonts w:hint="eastAsia" w:ascii="宋体" w:hAnsi="宋体" w:cs="宋体"/>
          <w:sz w:val="28"/>
          <w:szCs w:val="28"/>
        </w:rPr>
      </w:pPr>
    </w:p>
    <w:p w14:paraId="7F28F49E">
      <w:pPr>
        <w:snapToGrid w:val="0"/>
        <w:spacing w:line="300" w:lineRule="auto"/>
        <w:outlineLvl w:val="0"/>
        <w:rPr>
          <w:rFonts w:hint="eastAsia" w:ascii="宋体" w:hAnsi="宋体" w:cs="宋体"/>
          <w:sz w:val="28"/>
          <w:szCs w:val="28"/>
        </w:rPr>
      </w:pPr>
    </w:p>
    <w:p w14:paraId="613D4696">
      <w:pPr>
        <w:snapToGrid w:val="0"/>
        <w:spacing w:line="300" w:lineRule="auto"/>
        <w:outlineLvl w:val="0"/>
        <w:rPr>
          <w:rFonts w:hint="eastAsia" w:ascii="宋体" w:hAnsi="宋体" w:cs="宋体"/>
          <w:sz w:val="28"/>
          <w:szCs w:val="28"/>
        </w:rPr>
      </w:pPr>
    </w:p>
    <w:p w14:paraId="06C9C5A2">
      <w:pPr>
        <w:snapToGrid w:val="0"/>
        <w:spacing w:line="300" w:lineRule="auto"/>
        <w:outlineLvl w:val="0"/>
        <w:rPr>
          <w:rFonts w:hint="eastAsia" w:ascii="宋体" w:hAnsi="宋体" w:cs="宋体"/>
          <w:sz w:val="28"/>
          <w:szCs w:val="28"/>
        </w:rPr>
      </w:pPr>
    </w:p>
    <w:p w14:paraId="05AF82DD">
      <w:pPr>
        <w:snapToGrid w:val="0"/>
        <w:spacing w:line="300" w:lineRule="auto"/>
        <w:outlineLvl w:val="0"/>
        <w:rPr>
          <w:rFonts w:hint="eastAsia" w:ascii="宋体" w:hAnsi="宋体" w:cs="宋体"/>
          <w:sz w:val="28"/>
          <w:szCs w:val="28"/>
        </w:rPr>
      </w:pPr>
    </w:p>
    <w:p w14:paraId="393C15CD">
      <w:pPr>
        <w:snapToGrid w:val="0"/>
        <w:spacing w:line="300" w:lineRule="auto"/>
        <w:outlineLvl w:val="0"/>
        <w:rPr>
          <w:rFonts w:hint="eastAsia" w:ascii="宋体" w:hAnsi="宋体" w:cs="宋体"/>
          <w:sz w:val="28"/>
          <w:szCs w:val="28"/>
        </w:rPr>
      </w:pPr>
    </w:p>
    <w:p w14:paraId="511D382E">
      <w:pPr>
        <w:snapToGrid w:val="0"/>
        <w:spacing w:line="300" w:lineRule="auto"/>
        <w:outlineLvl w:val="0"/>
        <w:rPr>
          <w:rFonts w:hint="eastAsia" w:ascii="宋体" w:hAnsi="宋体" w:cs="宋体"/>
          <w:sz w:val="28"/>
          <w:szCs w:val="28"/>
        </w:rPr>
      </w:pPr>
    </w:p>
    <w:p w14:paraId="69012D53">
      <w:pPr>
        <w:snapToGrid w:val="0"/>
        <w:spacing w:line="300" w:lineRule="auto"/>
        <w:outlineLvl w:val="0"/>
        <w:rPr>
          <w:rFonts w:hint="eastAsia" w:ascii="宋体" w:hAnsi="宋体" w:cs="宋体"/>
          <w:sz w:val="28"/>
          <w:szCs w:val="28"/>
        </w:rPr>
      </w:pPr>
    </w:p>
    <w:p w14:paraId="6D34C994">
      <w:pPr>
        <w:rPr>
          <w:rFonts w:hint="eastAsia" w:ascii="宋体" w:hAnsi="宋体" w:cs="宋体"/>
          <w:bCs/>
          <w:sz w:val="32"/>
          <w:szCs w:val="32"/>
        </w:rPr>
      </w:pPr>
      <w:r>
        <w:rPr>
          <w:rFonts w:hint="eastAsia" w:ascii="宋体" w:hAnsi="宋体" w:cs="宋体"/>
          <w:bCs/>
          <w:sz w:val="32"/>
          <w:szCs w:val="32"/>
        </w:rPr>
        <w:t>附件13</w:t>
      </w:r>
    </w:p>
    <w:p w14:paraId="1D261958">
      <w:pPr>
        <w:jc w:val="center"/>
        <w:rPr>
          <w:rFonts w:hint="eastAsia" w:ascii="宋体" w:hAnsi="宋体" w:cs="宋体"/>
          <w:bCs/>
          <w:sz w:val="36"/>
          <w:szCs w:val="36"/>
        </w:rPr>
      </w:pPr>
      <w:r>
        <w:rPr>
          <w:rFonts w:hint="eastAsia" w:ascii="宋体" w:hAnsi="宋体" w:cs="宋体"/>
          <w:bCs/>
          <w:sz w:val="36"/>
          <w:szCs w:val="36"/>
        </w:rPr>
        <w:t>质疑函范本</w:t>
      </w:r>
    </w:p>
    <w:p w14:paraId="59A71212">
      <w:pPr>
        <w:adjustRightInd w:val="0"/>
        <w:snapToGrid w:val="0"/>
        <w:spacing w:before="312" w:beforeLines="100" w:line="312" w:lineRule="auto"/>
        <w:rPr>
          <w:rFonts w:hint="eastAsia" w:ascii="宋体" w:hAnsi="宋体" w:cs="宋体"/>
          <w:bCs/>
          <w:sz w:val="28"/>
          <w:szCs w:val="28"/>
        </w:rPr>
      </w:pPr>
      <w:r>
        <w:rPr>
          <w:rFonts w:hint="eastAsia" w:ascii="宋体" w:hAnsi="宋体" w:cs="宋体"/>
          <w:bCs/>
          <w:sz w:val="28"/>
          <w:szCs w:val="28"/>
        </w:rPr>
        <w:t>一、质疑供应商基本信息</w:t>
      </w:r>
    </w:p>
    <w:p w14:paraId="796D12DA">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质疑供应商：</w:t>
      </w:r>
    </w:p>
    <w:p w14:paraId="68793EFC">
      <w:pPr>
        <w:adjustRightInd w:val="0"/>
        <w:snapToGrid w:val="0"/>
        <w:spacing w:line="312" w:lineRule="auto"/>
        <w:rPr>
          <w:rFonts w:hint="eastAsia" w:ascii="宋体" w:hAnsi="宋体" w:cs="宋体"/>
          <w:sz w:val="28"/>
          <w:szCs w:val="28"/>
        </w:rPr>
      </w:pPr>
      <w:r>
        <w:rPr>
          <w:rFonts w:hint="eastAsia" w:ascii="宋体" w:hAnsi="宋体" w:cs="宋体"/>
          <w:sz w:val="28"/>
          <w:szCs w:val="28"/>
        </w:rPr>
        <w:t>地址：邮编：</w:t>
      </w:r>
    </w:p>
    <w:p w14:paraId="0E724B40">
      <w:pPr>
        <w:adjustRightInd w:val="0"/>
        <w:snapToGrid w:val="0"/>
        <w:spacing w:line="312" w:lineRule="auto"/>
        <w:rPr>
          <w:rFonts w:hint="eastAsia" w:ascii="宋体" w:hAnsi="宋体" w:cs="宋体"/>
          <w:sz w:val="28"/>
          <w:szCs w:val="28"/>
        </w:rPr>
      </w:pPr>
      <w:r>
        <w:rPr>
          <w:rFonts w:hint="eastAsia" w:ascii="宋体" w:hAnsi="宋体" w:cs="宋体"/>
          <w:sz w:val="28"/>
          <w:szCs w:val="28"/>
        </w:rPr>
        <w:t>联系人：联系电话：</w:t>
      </w:r>
    </w:p>
    <w:p w14:paraId="51BD99D6">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授权代表：</w:t>
      </w:r>
    </w:p>
    <w:p w14:paraId="71C37A6F">
      <w:pPr>
        <w:adjustRightInd w:val="0"/>
        <w:snapToGrid w:val="0"/>
        <w:spacing w:line="312" w:lineRule="auto"/>
        <w:rPr>
          <w:rFonts w:hint="eastAsia" w:ascii="宋体" w:hAnsi="宋体" w:cs="宋体"/>
          <w:sz w:val="28"/>
          <w:szCs w:val="28"/>
        </w:rPr>
      </w:pPr>
      <w:r>
        <w:rPr>
          <w:rFonts w:hint="eastAsia" w:ascii="宋体" w:hAnsi="宋体" w:cs="宋体"/>
          <w:sz w:val="28"/>
          <w:szCs w:val="28"/>
        </w:rPr>
        <w:t>联系电话：</w:t>
      </w:r>
    </w:p>
    <w:p w14:paraId="733CF067">
      <w:pPr>
        <w:adjustRightInd w:val="0"/>
        <w:snapToGrid w:val="0"/>
        <w:spacing w:line="312" w:lineRule="auto"/>
        <w:rPr>
          <w:rFonts w:hint="eastAsia" w:ascii="宋体" w:hAnsi="宋体" w:cs="宋体"/>
          <w:sz w:val="28"/>
          <w:szCs w:val="28"/>
        </w:rPr>
      </w:pPr>
      <w:r>
        <w:rPr>
          <w:rFonts w:hint="eastAsia" w:ascii="宋体" w:hAnsi="宋体" w:cs="宋体"/>
          <w:sz w:val="28"/>
          <w:szCs w:val="28"/>
        </w:rPr>
        <w:t>地址：邮编：</w:t>
      </w:r>
    </w:p>
    <w:p w14:paraId="03DF97D5">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二、质疑项目基本情况</w:t>
      </w:r>
    </w:p>
    <w:p w14:paraId="33D075F6">
      <w:pPr>
        <w:adjustRightInd w:val="0"/>
        <w:snapToGrid w:val="0"/>
        <w:spacing w:line="312" w:lineRule="auto"/>
        <w:rPr>
          <w:rFonts w:hint="eastAsia" w:ascii="宋体" w:hAnsi="宋体" w:cs="宋体"/>
          <w:sz w:val="28"/>
          <w:szCs w:val="28"/>
        </w:rPr>
      </w:pPr>
      <w:r>
        <w:rPr>
          <w:rFonts w:hint="eastAsia" w:ascii="宋体" w:hAnsi="宋体" w:cs="宋体"/>
          <w:sz w:val="28"/>
          <w:szCs w:val="28"/>
        </w:rPr>
        <w:t>质疑项目的名称：</w:t>
      </w:r>
    </w:p>
    <w:p w14:paraId="5F4A1EF4">
      <w:pPr>
        <w:adjustRightInd w:val="0"/>
        <w:snapToGrid w:val="0"/>
        <w:spacing w:line="312" w:lineRule="auto"/>
        <w:rPr>
          <w:rFonts w:hint="eastAsia" w:ascii="宋体" w:hAnsi="宋体" w:cs="宋体"/>
          <w:sz w:val="28"/>
          <w:szCs w:val="28"/>
        </w:rPr>
      </w:pPr>
      <w:r>
        <w:rPr>
          <w:rFonts w:hint="eastAsia" w:ascii="宋体" w:hAnsi="宋体" w:cs="宋体"/>
          <w:sz w:val="28"/>
          <w:szCs w:val="28"/>
        </w:rPr>
        <w:t>质疑项目的编号：包号：</w:t>
      </w:r>
    </w:p>
    <w:p w14:paraId="39926682">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采购人名称：</w:t>
      </w:r>
    </w:p>
    <w:p w14:paraId="40736A55">
      <w:pPr>
        <w:adjustRightInd w:val="0"/>
        <w:snapToGrid w:val="0"/>
        <w:spacing w:line="312" w:lineRule="auto"/>
        <w:rPr>
          <w:rFonts w:hint="eastAsia" w:ascii="宋体" w:hAnsi="宋体" w:cs="宋体"/>
          <w:sz w:val="28"/>
          <w:szCs w:val="28"/>
        </w:rPr>
      </w:pPr>
      <w:r>
        <w:rPr>
          <w:rFonts w:hint="eastAsia" w:ascii="宋体" w:hAnsi="宋体" w:cs="宋体"/>
          <w:sz w:val="28"/>
          <w:szCs w:val="28"/>
        </w:rPr>
        <w:t>采购文件获取日期：</w:t>
      </w:r>
    </w:p>
    <w:p w14:paraId="26C3284E">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三、质疑事项具体内容</w:t>
      </w:r>
    </w:p>
    <w:p w14:paraId="27EE019E">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质疑事项1：</w:t>
      </w:r>
    </w:p>
    <w:p w14:paraId="70C0D699">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事实依据：</w:t>
      </w:r>
    </w:p>
    <w:p w14:paraId="30F5A15F">
      <w:pPr>
        <w:adjustRightInd w:val="0"/>
        <w:snapToGrid w:val="0"/>
        <w:spacing w:line="312" w:lineRule="auto"/>
        <w:rPr>
          <w:rFonts w:hint="eastAsia" w:ascii="宋体" w:hAnsi="宋体" w:cs="宋体"/>
          <w:sz w:val="28"/>
          <w:szCs w:val="28"/>
        </w:rPr>
      </w:pPr>
    </w:p>
    <w:p w14:paraId="5A3C81AB">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法律依据：</w:t>
      </w:r>
    </w:p>
    <w:p w14:paraId="5E4753E3">
      <w:pPr>
        <w:adjustRightInd w:val="0"/>
        <w:snapToGrid w:val="0"/>
        <w:spacing w:line="312" w:lineRule="auto"/>
        <w:rPr>
          <w:rFonts w:hint="eastAsia" w:ascii="宋体" w:hAnsi="宋体" w:cs="宋体"/>
          <w:sz w:val="28"/>
          <w:szCs w:val="28"/>
          <w:u w:val="dotted"/>
        </w:rPr>
      </w:pPr>
    </w:p>
    <w:p w14:paraId="716A1257">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质疑事项2</w:t>
      </w:r>
    </w:p>
    <w:p w14:paraId="0D4E7C82">
      <w:pPr>
        <w:adjustRightInd w:val="0"/>
        <w:snapToGrid w:val="0"/>
        <w:spacing w:line="312" w:lineRule="auto"/>
        <w:rPr>
          <w:rFonts w:hint="eastAsia" w:ascii="宋体" w:hAnsi="宋体" w:cs="宋体"/>
          <w:sz w:val="28"/>
          <w:szCs w:val="28"/>
        </w:rPr>
      </w:pPr>
      <w:r>
        <w:rPr>
          <w:rFonts w:hint="eastAsia" w:ascii="宋体" w:hAnsi="宋体" w:cs="宋体"/>
          <w:sz w:val="28"/>
          <w:szCs w:val="28"/>
        </w:rPr>
        <w:t>……</w:t>
      </w:r>
    </w:p>
    <w:p w14:paraId="170B4618">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四、与质疑事项相关的质疑请求</w:t>
      </w:r>
    </w:p>
    <w:p w14:paraId="268CC968">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请求：</w:t>
      </w:r>
    </w:p>
    <w:p w14:paraId="02176796">
      <w:pPr>
        <w:spacing w:line="312" w:lineRule="auto"/>
        <w:rPr>
          <w:rFonts w:hint="eastAsia" w:ascii="宋体" w:hAnsi="宋体" w:cs="宋体"/>
          <w:sz w:val="28"/>
          <w:szCs w:val="28"/>
        </w:rPr>
      </w:pPr>
      <w:r>
        <w:rPr>
          <w:rFonts w:hint="eastAsia" w:ascii="宋体" w:hAnsi="宋体" w:cs="宋体"/>
          <w:sz w:val="28"/>
          <w:szCs w:val="28"/>
        </w:rPr>
        <w:t xml:space="preserve">签字(签章)：                   公章：                      </w:t>
      </w:r>
    </w:p>
    <w:p w14:paraId="56ED9FEF">
      <w:pPr>
        <w:spacing w:line="312" w:lineRule="auto"/>
        <w:rPr>
          <w:rFonts w:hint="eastAsia" w:ascii="宋体" w:hAnsi="宋体" w:cs="宋体"/>
          <w:sz w:val="28"/>
          <w:szCs w:val="28"/>
        </w:rPr>
      </w:pPr>
      <w:r>
        <w:rPr>
          <w:rFonts w:hint="eastAsia" w:ascii="宋体" w:hAnsi="宋体" w:cs="宋体"/>
          <w:sz w:val="28"/>
          <w:szCs w:val="28"/>
        </w:rPr>
        <w:t xml:space="preserve">日期：    </w:t>
      </w:r>
    </w:p>
    <w:p w14:paraId="751D87BD">
      <w:pPr>
        <w:adjustRightInd w:val="0"/>
        <w:snapToGrid w:val="0"/>
        <w:spacing w:line="288" w:lineRule="auto"/>
        <w:rPr>
          <w:rFonts w:hint="eastAsia" w:ascii="宋体" w:hAnsi="宋体" w:cs="宋体"/>
          <w:sz w:val="28"/>
          <w:szCs w:val="28"/>
        </w:rPr>
      </w:pPr>
    </w:p>
    <w:p w14:paraId="08ED4E6E">
      <w:pPr>
        <w:rPr>
          <w:rFonts w:hint="eastAsia" w:ascii="宋体" w:hAnsi="宋体" w:cs="宋体"/>
          <w:b/>
          <w:sz w:val="28"/>
          <w:szCs w:val="28"/>
        </w:rPr>
      </w:pPr>
      <w:r>
        <w:rPr>
          <w:rFonts w:hint="eastAsia" w:ascii="宋体" w:hAnsi="宋体" w:cs="宋体"/>
          <w:b/>
          <w:sz w:val="28"/>
          <w:szCs w:val="28"/>
        </w:rPr>
        <w:t>质疑函制作说明：</w:t>
      </w:r>
    </w:p>
    <w:p w14:paraId="12E693AD">
      <w:pPr>
        <w:widowControl/>
        <w:ind w:firstLine="560" w:firstLineChars="200"/>
        <w:jc w:val="left"/>
        <w:rPr>
          <w:rFonts w:hint="eastAsia" w:ascii="宋体" w:hAnsi="宋体" w:cs="宋体"/>
          <w:sz w:val="28"/>
          <w:szCs w:val="28"/>
        </w:rPr>
      </w:pPr>
      <w:r>
        <w:rPr>
          <w:rFonts w:hint="eastAsia" w:ascii="宋体" w:hAnsi="宋体" w:cs="宋体"/>
          <w:sz w:val="28"/>
          <w:szCs w:val="28"/>
        </w:rPr>
        <w:t>1.供应商提出质疑时，应提交质疑函和必要的证明材料。</w:t>
      </w:r>
    </w:p>
    <w:p w14:paraId="32BC12CA">
      <w:pPr>
        <w:widowControl/>
        <w:ind w:firstLine="560" w:firstLineChars="200"/>
        <w:jc w:val="left"/>
        <w:rPr>
          <w:rFonts w:hint="eastAsia" w:ascii="宋体" w:hAnsi="宋体" w:cs="宋体"/>
          <w:sz w:val="28"/>
          <w:szCs w:val="28"/>
        </w:rPr>
      </w:pPr>
      <w:r>
        <w:rPr>
          <w:rFonts w:hint="eastAsia" w:ascii="宋体" w:hAnsi="宋体" w:cs="宋体"/>
          <w:sz w:val="28"/>
          <w:szCs w:val="28"/>
        </w:rPr>
        <w:t>2.质疑供应商若委托代理人进行质疑的，质疑函应按要求列明“授权代表”的有关内容，并在附件中提交由质疑</w:t>
      </w:r>
      <w:r>
        <w:rPr>
          <w:rFonts w:hint="eastAsia" w:ascii="宋体" w:hAnsi="宋体" w:cs="宋体"/>
          <w:kern w:val="0"/>
          <w:sz w:val="28"/>
          <w:szCs w:val="28"/>
        </w:rPr>
        <w:t>供应商签署的授权委托书。授权委托书应载明代理人的姓名或者名称、代理事项、具体权限、期限和相关事项。</w:t>
      </w:r>
    </w:p>
    <w:p w14:paraId="74299909">
      <w:pPr>
        <w:widowControl/>
        <w:ind w:firstLine="560" w:firstLineChars="200"/>
        <w:jc w:val="left"/>
        <w:rPr>
          <w:rFonts w:hint="eastAsia" w:ascii="宋体" w:hAnsi="宋体" w:cs="宋体"/>
          <w:sz w:val="28"/>
          <w:szCs w:val="28"/>
        </w:rPr>
      </w:pPr>
      <w:r>
        <w:rPr>
          <w:rFonts w:hint="eastAsia" w:ascii="宋体" w:hAnsi="宋体" w:cs="宋体"/>
          <w:sz w:val="28"/>
          <w:szCs w:val="28"/>
        </w:rPr>
        <w:t>3.质疑供应商若对项目的某一分包进行质疑，质疑函中应列明具体分包号。</w:t>
      </w:r>
    </w:p>
    <w:p w14:paraId="7AE0DD4F">
      <w:pPr>
        <w:widowControl/>
        <w:ind w:firstLine="560" w:firstLineChars="200"/>
        <w:jc w:val="left"/>
        <w:rPr>
          <w:rFonts w:hint="eastAsia" w:ascii="宋体" w:hAnsi="宋体" w:cs="宋体"/>
          <w:sz w:val="28"/>
          <w:szCs w:val="28"/>
        </w:rPr>
      </w:pPr>
      <w:r>
        <w:rPr>
          <w:rFonts w:hint="eastAsia" w:ascii="宋体" w:hAnsi="宋体" w:cs="宋体"/>
          <w:sz w:val="28"/>
          <w:szCs w:val="28"/>
        </w:rPr>
        <w:t>4.质疑函的质疑事项应具体、明确，并有必要的事实依据和法律依据。</w:t>
      </w:r>
    </w:p>
    <w:p w14:paraId="1F972766">
      <w:pPr>
        <w:widowControl/>
        <w:ind w:firstLine="560" w:firstLineChars="200"/>
        <w:jc w:val="left"/>
        <w:rPr>
          <w:rFonts w:hint="eastAsia" w:ascii="宋体" w:hAnsi="宋体" w:cs="宋体"/>
          <w:sz w:val="28"/>
          <w:szCs w:val="28"/>
        </w:rPr>
      </w:pPr>
      <w:r>
        <w:rPr>
          <w:rFonts w:hint="eastAsia" w:ascii="宋体" w:hAnsi="宋体" w:cs="宋体"/>
          <w:sz w:val="28"/>
          <w:szCs w:val="28"/>
        </w:rPr>
        <w:t>5.质疑函的质疑请求应与质疑事项相关。</w:t>
      </w:r>
    </w:p>
    <w:p w14:paraId="04CF25BC">
      <w:pPr>
        <w:widowControl/>
        <w:ind w:firstLine="560" w:firstLineChars="200"/>
        <w:jc w:val="left"/>
        <w:rPr>
          <w:rFonts w:hint="eastAsia" w:ascii="宋体" w:hAnsi="宋体" w:cs="宋体"/>
          <w:sz w:val="28"/>
          <w:szCs w:val="28"/>
        </w:rPr>
      </w:pPr>
      <w:r>
        <w:rPr>
          <w:rFonts w:hint="eastAsia" w:ascii="宋体" w:hAnsi="宋体" w:cs="宋体"/>
          <w:sz w:val="28"/>
          <w:szCs w:val="28"/>
        </w:rPr>
        <w:t>6.质疑供应商为自然人的，质疑函应由本人签字；质疑供应商为法人或者其他组织的，质疑函应由法定代表人、主要负责人，或者其授权代表签字或者盖章，并加盖公章。</w:t>
      </w:r>
    </w:p>
    <w:p w14:paraId="19E7612F">
      <w:pPr>
        <w:snapToGrid w:val="0"/>
        <w:spacing w:line="300" w:lineRule="auto"/>
        <w:outlineLvl w:val="0"/>
        <w:rPr>
          <w:rFonts w:hint="eastAsia" w:ascii="宋体" w:hAnsi="宋体" w:cs="宋体"/>
          <w:sz w:val="28"/>
          <w:szCs w:val="28"/>
        </w:rPr>
      </w:pPr>
    </w:p>
    <w:p w14:paraId="5C881147">
      <w:pPr>
        <w:snapToGrid w:val="0"/>
        <w:spacing w:line="300" w:lineRule="auto"/>
        <w:outlineLvl w:val="0"/>
        <w:rPr>
          <w:rFonts w:hint="eastAsia" w:ascii="宋体" w:hAnsi="宋体" w:cs="宋体"/>
          <w:sz w:val="28"/>
          <w:szCs w:val="28"/>
        </w:rPr>
      </w:pPr>
    </w:p>
    <w:p w14:paraId="6B0BBC63">
      <w:pPr>
        <w:spacing w:line="312" w:lineRule="auto"/>
        <w:rPr>
          <w:rFonts w:hint="eastAsia" w:ascii="宋体" w:hAnsi="宋体" w:cs="宋体"/>
          <w:sz w:val="28"/>
          <w:szCs w:val="28"/>
        </w:rPr>
      </w:pPr>
    </w:p>
    <w:sectPr>
      <w:pgSz w:w="11915" w:h="16840"/>
      <w:pgMar w:top="1440" w:right="1757" w:bottom="1440" w:left="1757" w:header="851" w:footer="850"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Microsoft YaHei UI">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4691D">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EFAA92">
                          <w:pPr>
                            <w:pStyle w:val="11"/>
                          </w:pPr>
                          <w:r>
                            <w:t xml:space="preserve">— </w:t>
                          </w:r>
                          <w:r>
                            <w:fldChar w:fldCharType="begin"/>
                          </w:r>
                          <w:r>
                            <w:instrText xml:space="preserve"> PAGE  \* MERGEFORMAT </w:instrText>
                          </w:r>
                          <w:r>
                            <w:fldChar w:fldCharType="separate"/>
                          </w:r>
                          <w:r>
                            <w:t>51</w:t>
                          </w:r>
                          <w:r>
                            <w:fldChar w:fldCharType="end"/>
                          </w:r>
                          <w:r>
                            <w:t xml:space="preserve"> —</w:t>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cYiiAscBAACbAwAADgAAAAAAAAABACAAAAAeAQAAZHJzL2Uyb0RvYy54&#10;bWxQSwUGAAAAAAYABgBZAQAAVwUAAAAA&#10;">
              <v:fill on="f" focussize="0,0"/>
              <v:stroke on="f"/>
              <v:imagedata o:title=""/>
              <o:lock v:ext="edit" aspectratio="f"/>
              <v:textbox inset="0mm,0mm,0mm,0mm" style="mso-fit-shape-to-text:t;">
                <w:txbxContent>
                  <w:p w14:paraId="15EFAA92">
                    <w:pPr>
                      <w:pStyle w:val="11"/>
                    </w:pPr>
                    <w:r>
                      <w:t xml:space="preserve">— </w:t>
                    </w:r>
                    <w:r>
                      <w:fldChar w:fldCharType="begin"/>
                    </w:r>
                    <w:r>
                      <w:instrText xml:space="preserve"> PAGE  \* MERGEFORMAT </w:instrText>
                    </w:r>
                    <w:r>
                      <w:fldChar w:fldCharType="separate"/>
                    </w:r>
                    <w:r>
                      <w:t>51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0A629">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599A5B">
                          <w:pPr>
                            <w:pStyle w:val="11"/>
                          </w:pPr>
                          <w:r>
                            <w:t xml:space="preserve">— </w:t>
                          </w:r>
                          <w:r>
                            <w:fldChar w:fldCharType="begin"/>
                          </w:r>
                          <w:r>
                            <w:instrText xml:space="preserve"> PAGE  \* MERGEFORMAT </w:instrText>
                          </w:r>
                          <w:r>
                            <w:fldChar w:fldCharType="separate"/>
                          </w:r>
                          <w:r>
                            <w:t>54</w:t>
                          </w:r>
                          <w:r>
                            <w:fldChar w:fldCharType="end"/>
                          </w:r>
                          <w:r>
                            <w:t xml:space="preserve"> —</w:t>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42CLzxgEAAJsDAAAOAAAAAAAAAAEAIAAAAB4BAABkcnMvZTJvRG9jLnht&#10;bFBLBQYAAAAABgAGAFkBAABWBQAAAAA=&#10;">
              <v:fill on="f" focussize="0,0"/>
              <v:stroke on="f"/>
              <v:imagedata o:title=""/>
              <o:lock v:ext="edit" aspectratio="f"/>
              <v:textbox inset="0mm,0mm,0mm,0mm" style="mso-fit-shape-to-text:t;">
                <w:txbxContent>
                  <w:p w14:paraId="19599A5B">
                    <w:pPr>
                      <w:pStyle w:val="11"/>
                    </w:pPr>
                    <w:r>
                      <w:t xml:space="preserve">— </w:t>
                    </w:r>
                    <w:r>
                      <w:fldChar w:fldCharType="begin"/>
                    </w:r>
                    <w:r>
                      <w:instrText xml:space="preserve"> PAGE  \* MERGEFORMAT </w:instrText>
                    </w:r>
                    <w:r>
                      <w:fldChar w:fldCharType="separate"/>
                    </w:r>
                    <w:r>
                      <w:t>54</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387600"/>
    <w:multiLevelType w:val="singleLevel"/>
    <w:tmpl w:val="82387600"/>
    <w:lvl w:ilvl="0" w:tentative="0">
      <w:start w:val="1"/>
      <w:numFmt w:val="decimal"/>
      <w:suff w:val="space"/>
      <w:lvlText w:val="%1."/>
      <w:lvlJc w:val="left"/>
    </w:lvl>
  </w:abstractNum>
  <w:abstractNum w:abstractNumId="1">
    <w:nsid w:val="91D26ECC"/>
    <w:multiLevelType w:val="singleLevel"/>
    <w:tmpl w:val="91D26ECC"/>
    <w:lvl w:ilvl="0" w:tentative="0">
      <w:start w:val="1"/>
      <w:numFmt w:val="decimal"/>
      <w:suff w:val="space"/>
      <w:lvlText w:val="%1."/>
      <w:lvlJc w:val="left"/>
    </w:lvl>
  </w:abstractNum>
  <w:abstractNum w:abstractNumId="2">
    <w:nsid w:val="A82897AF"/>
    <w:multiLevelType w:val="singleLevel"/>
    <w:tmpl w:val="A82897AF"/>
    <w:lvl w:ilvl="0" w:tentative="0">
      <w:start w:val="1"/>
      <w:numFmt w:val="decimal"/>
      <w:suff w:val="space"/>
      <w:lvlText w:val="%1."/>
      <w:lvlJc w:val="left"/>
    </w:lvl>
  </w:abstractNum>
  <w:abstractNum w:abstractNumId="3">
    <w:nsid w:val="B16AC4C0"/>
    <w:multiLevelType w:val="singleLevel"/>
    <w:tmpl w:val="B16AC4C0"/>
    <w:lvl w:ilvl="0" w:tentative="0">
      <w:start w:val="1"/>
      <w:numFmt w:val="decimal"/>
      <w:suff w:val="space"/>
      <w:lvlText w:val="%1."/>
      <w:lvlJc w:val="left"/>
    </w:lvl>
  </w:abstractNum>
  <w:abstractNum w:abstractNumId="4">
    <w:nsid w:val="C051E686"/>
    <w:multiLevelType w:val="singleLevel"/>
    <w:tmpl w:val="C051E686"/>
    <w:lvl w:ilvl="0" w:tentative="0">
      <w:start w:val="3"/>
      <w:numFmt w:val="decimal"/>
      <w:lvlText w:val="%1."/>
      <w:lvlJc w:val="left"/>
      <w:pPr>
        <w:tabs>
          <w:tab w:val="left" w:pos="312"/>
        </w:tabs>
      </w:pPr>
    </w:lvl>
  </w:abstractNum>
  <w:abstractNum w:abstractNumId="5">
    <w:nsid w:val="C1991B45"/>
    <w:multiLevelType w:val="singleLevel"/>
    <w:tmpl w:val="C1991B45"/>
    <w:lvl w:ilvl="0" w:tentative="0">
      <w:start w:val="1"/>
      <w:numFmt w:val="chineseCounting"/>
      <w:suff w:val="nothing"/>
      <w:lvlText w:val="%1、"/>
      <w:lvlJc w:val="left"/>
      <w:rPr>
        <w:rFonts w:hint="eastAsia"/>
      </w:rPr>
    </w:lvl>
  </w:abstractNum>
  <w:abstractNum w:abstractNumId="6">
    <w:nsid w:val="D0DBD6CC"/>
    <w:multiLevelType w:val="singleLevel"/>
    <w:tmpl w:val="D0DBD6CC"/>
    <w:lvl w:ilvl="0" w:tentative="0">
      <w:start w:val="1"/>
      <w:numFmt w:val="decimal"/>
      <w:suff w:val="space"/>
      <w:lvlText w:val="%1."/>
      <w:lvlJc w:val="left"/>
    </w:lvl>
  </w:abstractNum>
  <w:abstractNum w:abstractNumId="7">
    <w:nsid w:val="F6DA14F5"/>
    <w:multiLevelType w:val="singleLevel"/>
    <w:tmpl w:val="F6DA14F5"/>
    <w:lvl w:ilvl="0" w:tentative="0">
      <w:start w:val="1"/>
      <w:numFmt w:val="decimal"/>
      <w:suff w:val="space"/>
      <w:lvlText w:val="%1."/>
      <w:lvlJc w:val="left"/>
    </w:lvl>
  </w:abstractNum>
  <w:abstractNum w:abstractNumId="8">
    <w:nsid w:val="F7BD182F"/>
    <w:multiLevelType w:val="singleLevel"/>
    <w:tmpl w:val="F7BD182F"/>
    <w:lvl w:ilvl="0" w:tentative="0">
      <w:start w:val="1"/>
      <w:numFmt w:val="decimal"/>
      <w:suff w:val="space"/>
      <w:lvlText w:val="%1."/>
      <w:lvlJc w:val="left"/>
    </w:lvl>
  </w:abstractNum>
  <w:abstractNum w:abstractNumId="9">
    <w:nsid w:val="01A58A30"/>
    <w:multiLevelType w:val="singleLevel"/>
    <w:tmpl w:val="01A58A30"/>
    <w:lvl w:ilvl="0" w:tentative="0">
      <w:start w:val="1"/>
      <w:numFmt w:val="decimal"/>
      <w:suff w:val="space"/>
      <w:lvlText w:val="%1."/>
      <w:lvlJc w:val="left"/>
    </w:lvl>
  </w:abstractNum>
  <w:abstractNum w:abstractNumId="10">
    <w:nsid w:val="24F5D353"/>
    <w:multiLevelType w:val="singleLevel"/>
    <w:tmpl w:val="24F5D353"/>
    <w:lvl w:ilvl="0" w:tentative="0">
      <w:start w:val="1"/>
      <w:numFmt w:val="decimal"/>
      <w:suff w:val="space"/>
      <w:lvlText w:val="%1."/>
      <w:lvlJc w:val="left"/>
    </w:lvl>
  </w:abstractNum>
  <w:abstractNum w:abstractNumId="11">
    <w:nsid w:val="3F2DDE5D"/>
    <w:multiLevelType w:val="singleLevel"/>
    <w:tmpl w:val="3F2DDE5D"/>
    <w:lvl w:ilvl="0" w:tentative="0">
      <w:start w:val="1"/>
      <w:numFmt w:val="decimal"/>
      <w:suff w:val="space"/>
      <w:lvlText w:val="%1."/>
      <w:lvlJc w:val="left"/>
    </w:lvl>
  </w:abstractNum>
  <w:abstractNum w:abstractNumId="12">
    <w:nsid w:val="41D3FEF6"/>
    <w:multiLevelType w:val="singleLevel"/>
    <w:tmpl w:val="41D3FEF6"/>
    <w:lvl w:ilvl="0" w:tentative="0">
      <w:start w:val="1"/>
      <w:numFmt w:val="chineseCounting"/>
      <w:suff w:val="nothing"/>
      <w:lvlText w:val="%1、"/>
      <w:lvlJc w:val="left"/>
      <w:rPr>
        <w:rFonts w:hint="eastAsia"/>
      </w:rPr>
    </w:lvl>
  </w:abstractNum>
  <w:abstractNum w:abstractNumId="13">
    <w:nsid w:val="5544F675"/>
    <w:multiLevelType w:val="singleLevel"/>
    <w:tmpl w:val="5544F675"/>
    <w:lvl w:ilvl="0" w:tentative="0">
      <w:start w:val="1"/>
      <w:numFmt w:val="decimal"/>
      <w:suff w:val="space"/>
      <w:lvlText w:val="%1."/>
      <w:lvlJc w:val="left"/>
    </w:lvl>
  </w:abstractNum>
  <w:abstractNum w:abstractNumId="14">
    <w:nsid w:val="6A693AD8"/>
    <w:multiLevelType w:val="singleLevel"/>
    <w:tmpl w:val="6A693AD8"/>
    <w:lvl w:ilvl="0" w:tentative="0">
      <w:start w:val="1"/>
      <w:numFmt w:val="decimal"/>
      <w:suff w:val="space"/>
      <w:lvlText w:val="%1."/>
      <w:lvlJc w:val="left"/>
    </w:lvl>
  </w:abstractNum>
  <w:num w:numId="1">
    <w:abstractNumId w:val="4"/>
  </w:num>
  <w:num w:numId="2">
    <w:abstractNumId w:val="12"/>
  </w:num>
  <w:num w:numId="3">
    <w:abstractNumId w:val="6"/>
  </w:num>
  <w:num w:numId="4">
    <w:abstractNumId w:val="14"/>
  </w:num>
  <w:num w:numId="5">
    <w:abstractNumId w:val="3"/>
  </w:num>
  <w:num w:numId="6">
    <w:abstractNumId w:val="1"/>
  </w:num>
  <w:num w:numId="7">
    <w:abstractNumId w:val="11"/>
  </w:num>
  <w:num w:numId="8">
    <w:abstractNumId w:val="8"/>
  </w:num>
  <w:num w:numId="9">
    <w:abstractNumId w:val="13"/>
  </w:num>
  <w:num w:numId="10">
    <w:abstractNumId w:val="9"/>
  </w:num>
  <w:num w:numId="11">
    <w:abstractNumId w:val="2"/>
  </w:num>
  <w:num w:numId="12">
    <w:abstractNumId w:val="10"/>
  </w:num>
  <w:num w:numId="13">
    <w:abstractNumId w:val="7"/>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evenAndOddHeaders w:val="1"/>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kN2E3MzAyNjU0NjQ4ODE5YWUwZjJiN2U0MDhiMjAifQ=="/>
  </w:docVars>
  <w:rsids>
    <w:rsidRoot w:val="72DA44FF"/>
    <w:rsid w:val="00003032"/>
    <w:rsid w:val="000031BB"/>
    <w:rsid w:val="000120F6"/>
    <w:rsid w:val="00013AEC"/>
    <w:rsid w:val="00023F33"/>
    <w:rsid w:val="00030D94"/>
    <w:rsid w:val="0005603F"/>
    <w:rsid w:val="00093FAB"/>
    <w:rsid w:val="000971F5"/>
    <w:rsid w:val="000A7995"/>
    <w:rsid w:val="000B0D5B"/>
    <w:rsid w:val="000B37FA"/>
    <w:rsid w:val="000C1041"/>
    <w:rsid w:val="000C1502"/>
    <w:rsid w:val="000C59DE"/>
    <w:rsid w:val="000D23CC"/>
    <w:rsid w:val="000E4E75"/>
    <w:rsid w:val="000F24EA"/>
    <w:rsid w:val="000F5F73"/>
    <w:rsid w:val="00102AD3"/>
    <w:rsid w:val="00103299"/>
    <w:rsid w:val="00104A30"/>
    <w:rsid w:val="00104F7B"/>
    <w:rsid w:val="00106C4E"/>
    <w:rsid w:val="001125F2"/>
    <w:rsid w:val="00116193"/>
    <w:rsid w:val="0011760F"/>
    <w:rsid w:val="00123BCF"/>
    <w:rsid w:val="0014136A"/>
    <w:rsid w:val="00151A61"/>
    <w:rsid w:val="00177C0D"/>
    <w:rsid w:val="001A44DD"/>
    <w:rsid w:val="001A7B69"/>
    <w:rsid w:val="001D4F48"/>
    <w:rsid w:val="001E0841"/>
    <w:rsid w:val="001E0D3F"/>
    <w:rsid w:val="001F141B"/>
    <w:rsid w:val="001F3BB0"/>
    <w:rsid w:val="00203E2B"/>
    <w:rsid w:val="00205D51"/>
    <w:rsid w:val="00210BA2"/>
    <w:rsid w:val="00213335"/>
    <w:rsid w:val="00214A7D"/>
    <w:rsid w:val="00217FBF"/>
    <w:rsid w:val="00236474"/>
    <w:rsid w:val="002378FE"/>
    <w:rsid w:val="00241ACF"/>
    <w:rsid w:val="00244DEB"/>
    <w:rsid w:val="002500D3"/>
    <w:rsid w:val="00251214"/>
    <w:rsid w:val="0025265F"/>
    <w:rsid w:val="00257691"/>
    <w:rsid w:val="00264E69"/>
    <w:rsid w:val="00285CBD"/>
    <w:rsid w:val="00286C87"/>
    <w:rsid w:val="002A012B"/>
    <w:rsid w:val="002B182A"/>
    <w:rsid w:val="002B613D"/>
    <w:rsid w:val="002C0F03"/>
    <w:rsid w:val="002C50C7"/>
    <w:rsid w:val="002D5236"/>
    <w:rsid w:val="003037A3"/>
    <w:rsid w:val="00310D5F"/>
    <w:rsid w:val="003121C2"/>
    <w:rsid w:val="00315121"/>
    <w:rsid w:val="003364F4"/>
    <w:rsid w:val="00342187"/>
    <w:rsid w:val="00380875"/>
    <w:rsid w:val="003820DA"/>
    <w:rsid w:val="003A4DF6"/>
    <w:rsid w:val="003B0EC9"/>
    <w:rsid w:val="003B0F20"/>
    <w:rsid w:val="003C03B5"/>
    <w:rsid w:val="003C130D"/>
    <w:rsid w:val="003C21FD"/>
    <w:rsid w:val="003C693E"/>
    <w:rsid w:val="003C76E6"/>
    <w:rsid w:val="003E32D0"/>
    <w:rsid w:val="003F4FD8"/>
    <w:rsid w:val="004004D4"/>
    <w:rsid w:val="0041437B"/>
    <w:rsid w:val="00421872"/>
    <w:rsid w:val="00433C8F"/>
    <w:rsid w:val="004366FE"/>
    <w:rsid w:val="004378CD"/>
    <w:rsid w:val="004444FD"/>
    <w:rsid w:val="0044663C"/>
    <w:rsid w:val="004541EF"/>
    <w:rsid w:val="004570AF"/>
    <w:rsid w:val="00460E4A"/>
    <w:rsid w:val="0047403B"/>
    <w:rsid w:val="00491D67"/>
    <w:rsid w:val="004A0780"/>
    <w:rsid w:val="004A7ADC"/>
    <w:rsid w:val="004C4933"/>
    <w:rsid w:val="004E5643"/>
    <w:rsid w:val="004F6F7F"/>
    <w:rsid w:val="0050377F"/>
    <w:rsid w:val="0052647E"/>
    <w:rsid w:val="00535E2F"/>
    <w:rsid w:val="00543DB1"/>
    <w:rsid w:val="0056629C"/>
    <w:rsid w:val="00570FAB"/>
    <w:rsid w:val="00580847"/>
    <w:rsid w:val="005827AC"/>
    <w:rsid w:val="00585220"/>
    <w:rsid w:val="00590012"/>
    <w:rsid w:val="005C1C08"/>
    <w:rsid w:val="005C2247"/>
    <w:rsid w:val="005C5DCC"/>
    <w:rsid w:val="005D23AE"/>
    <w:rsid w:val="005D378A"/>
    <w:rsid w:val="005E605F"/>
    <w:rsid w:val="005F05EF"/>
    <w:rsid w:val="00602CBB"/>
    <w:rsid w:val="006050D1"/>
    <w:rsid w:val="006166DC"/>
    <w:rsid w:val="00624A21"/>
    <w:rsid w:val="00635D3A"/>
    <w:rsid w:val="0067318C"/>
    <w:rsid w:val="00683185"/>
    <w:rsid w:val="006910F6"/>
    <w:rsid w:val="0069144B"/>
    <w:rsid w:val="006937C8"/>
    <w:rsid w:val="006A3707"/>
    <w:rsid w:val="006A76F6"/>
    <w:rsid w:val="006B111D"/>
    <w:rsid w:val="006B386F"/>
    <w:rsid w:val="006B5AD4"/>
    <w:rsid w:val="006B7CD3"/>
    <w:rsid w:val="006C05FC"/>
    <w:rsid w:val="006C7881"/>
    <w:rsid w:val="006F435E"/>
    <w:rsid w:val="006F61CB"/>
    <w:rsid w:val="006F72CE"/>
    <w:rsid w:val="0071021D"/>
    <w:rsid w:val="00711944"/>
    <w:rsid w:val="00715C56"/>
    <w:rsid w:val="007222C4"/>
    <w:rsid w:val="00734BD1"/>
    <w:rsid w:val="007412AA"/>
    <w:rsid w:val="00747FCA"/>
    <w:rsid w:val="00750D27"/>
    <w:rsid w:val="00751867"/>
    <w:rsid w:val="007528A3"/>
    <w:rsid w:val="0076663F"/>
    <w:rsid w:val="00781367"/>
    <w:rsid w:val="00793C13"/>
    <w:rsid w:val="007C4F8B"/>
    <w:rsid w:val="007E4447"/>
    <w:rsid w:val="00803D68"/>
    <w:rsid w:val="008076E2"/>
    <w:rsid w:val="00810BD0"/>
    <w:rsid w:val="00814356"/>
    <w:rsid w:val="00835E9C"/>
    <w:rsid w:val="00852DE3"/>
    <w:rsid w:val="00893CDE"/>
    <w:rsid w:val="008A6D60"/>
    <w:rsid w:val="008B50A8"/>
    <w:rsid w:val="008B5DEC"/>
    <w:rsid w:val="008C53A8"/>
    <w:rsid w:val="008D4AE6"/>
    <w:rsid w:val="008D5924"/>
    <w:rsid w:val="008D7681"/>
    <w:rsid w:val="008E0C60"/>
    <w:rsid w:val="008F4E65"/>
    <w:rsid w:val="0091137A"/>
    <w:rsid w:val="00923838"/>
    <w:rsid w:val="009312BD"/>
    <w:rsid w:val="00975836"/>
    <w:rsid w:val="009860DC"/>
    <w:rsid w:val="009937E8"/>
    <w:rsid w:val="009A0042"/>
    <w:rsid w:val="009B79B1"/>
    <w:rsid w:val="009C0E7F"/>
    <w:rsid w:val="009D047A"/>
    <w:rsid w:val="009D617C"/>
    <w:rsid w:val="009E04A4"/>
    <w:rsid w:val="009F049D"/>
    <w:rsid w:val="009F5E2A"/>
    <w:rsid w:val="00A0044C"/>
    <w:rsid w:val="00A019A2"/>
    <w:rsid w:val="00A02BBB"/>
    <w:rsid w:val="00A23CEC"/>
    <w:rsid w:val="00A23D2F"/>
    <w:rsid w:val="00A273B3"/>
    <w:rsid w:val="00A364B9"/>
    <w:rsid w:val="00A4744A"/>
    <w:rsid w:val="00A6197F"/>
    <w:rsid w:val="00A66D3B"/>
    <w:rsid w:val="00A737C2"/>
    <w:rsid w:val="00A751DC"/>
    <w:rsid w:val="00A77BDF"/>
    <w:rsid w:val="00A818AF"/>
    <w:rsid w:val="00AD3E11"/>
    <w:rsid w:val="00B16617"/>
    <w:rsid w:val="00B32609"/>
    <w:rsid w:val="00B60243"/>
    <w:rsid w:val="00B61542"/>
    <w:rsid w:val="00B654EA"/>
    <w:rsid w:val="00B76210"/>
    <w:rsid w:val="00B81761"/>
    <w:rsid w:val="00B82506"/>
    <w:rsid w:val="00B9181B"/>
    <w:rsid w:val="00BA611D"/>
    <w:rsid w:val="00BE5D54"/>
    <w:rsid w:val="00BE6F5B"/>
    <w:rsid w:val="00C00A45"/>
    <w:rsid w:val="00C01D06"/>
    <w:rsid w:val="00C01E89"/>
    <w:rsid w:val="00C212F4"/>
    <w:rsid w:val="00C23DFA"/>
    <w:rsid w:val="00C26813"/>
    <w:rsid w:val="00C46100"/>
    <w:rsid w:val="00C57D84"/>
    <w:rsid w:val="00C85DF0"/>
    <w:rsid w:val="00CB17F4"/>
    <w:rsid w:val="00CB3C17"/>
    <w:rsid w:val="00CE346F"/>
    <w:rsid w:val="00D07D82"/>
    <w:rsid w:val="00D112D6"/>
    <w:rsid w:val="00D114FD"/>
    <w:rsid w:val="00D30BC0"/>
    <w:rsid w:val="00D3580A"/>
    <w:rsid w:val="00D40E78"/>
    <w:rsid w:val="00D42457"/>
    <w:rsid w:val="00D56E07"/>
    <w:rsid w:val="00D817F3"/>
    <w:rsid w:val="00D8449B"/>
    <w:rsid w:val="00D94BE9"/>
    <w:rsid w:val="00D97CD4"/>
    <w:rsid w:val="00DB0445"/>
    <w:rsid w:val="00DB4CE7"/>
    <w:rsid w:val="00DD0017"/>
    <w:rsid w:val="00DD0B98"/>
    <w:rsid w:val="00DD6AE4"/>
    <w:rsid w:val="00DE7AB0"/>
    <w:rsid w:val="00DF7C9E"/>
    <w:rsid w:val="00E0598E"/>
    <w:rsid w:val="00E12985"/>
    <w:rsid w:val="00E27C07"/>
    <w:rsid w:val="00E56192"/>
    <w:rsid w:val="00E57C52"/>
    <w:rsid w:val="00E612F6"/>
    <w:rsid w:val="00E62497"/>
    <w:rsid w:val="00E66E9B"/>
    <w:rsid w:val="00E67873"/>
    <w:rsid w:val="00E84ACA"/>
    <w:rsid w:val="00EA05C0"/>
    <w:rsid w:val="00EA3731"/>
    <w:rsid w:val="00EA3EFB"/>
    <w:rsid w:val="00EA4BC5"/>
    <w:rsid w:val="00EA5A08"/>
    <w:rsid w:val="00EB4B03"/>
    <w:rsid w:val="00EC4009"/>
    <w:rsid w:val="00EF5DB7"/>
    <w:rsid w:val="00F21BDD"/>
    <w:rsid w:val="00F34615"/>
    <w:rsid w:val="00F54BE6"/>
    <w:rsid w:val="00F7090D"/>
    <w:rsid w:val="00FC35B2"/>
    <w:rsid w:val="00FF2CF6"/>
    <w:rsid w:val="00FF4D3F"/>
    <w:rsid w:val="00FF6AE3"/>
    <w:rsid w:val="010F19F3"/>
    <w:rsid w:val="011B466A"/>
    <w:rsid w:val="0136732D"/>
    <w:rsid w:val="017936BE"/>
    <w:rsid w:val="01910A08"/>
    <w:rsid w:val="01A61B07"/>
    <w:rsid w:val="01AA3877"/>
    <w:rsid w:val="01BD35AB"/>
    <w:rsid w:val="01D134FA"/>
    <w:rsid w:val="01DF2B34"/>
    <w:rsid w:val="01F17356"/>
    <w:rsid w:val="0221497E"/>
    <w:rsid w:val="022F3D03"/>
    <w:rsid w:val="02411B93"/>
    <w:rsid w:val="02554FB3"/>
    <w:rsid w:val="026C6D7F"/>
    <w:rsid w:val="028B36A9"/>
    <w:rsid w:val="02C32E43"/>
    <w:rsid w:val="034D6BB0"/>
    <w:rsid w:val="03A3046B"/>
    <w:rsid w:val="041D47D5"/>
    <w:rsid w:val="04231D23"/>
    <w:rsid w:val="04472DF8"/>
    <w:rsid w:val="04504BAA"/>
    <w:rsid w:val="04932CE9"/>
    <w:rsid w:val="04A8035C"/>
    <w:rsid w:val="04D37589"/>
    <w:rsid w:val="05181BB5"/>
    <w:rsid w:val="0560706F"/>
    <w:rsid w:val="057B186A"/>
    <w:rsid w:val="0583769E"/>
    <w:rsid w:val="05B178CA"/>
    <w:rsid w:val="05CD222A"/>
    <w:rsid w:val="06112117"/>
    <w:rsid w:val="06274D10"/>
    <w:rsid w:val="06A50AB1"/>
    <w:rsid w:val="06D21E81"/>
    <w:rsid w:val="06F207A1"/>
    <w:rsid w:val="06FA704F"/>
    <w:rsid w:val="06FE6B3F"/>
    <w:rsid w:val="07013CDC"/>
    <w:rsid w:val="07041C7C"/>
    <w:rsid w:val="075020E6"/>
    <w:rsid w:val="07503AF7"/>
    <w:rsid w:val="07A33243"/>
    <w:rsid w:val="082C4599"/>
    <w:rsid w:val="08326375"/>
    <w:rsid w:val="084501F4"/>
    <w:rsid w:val="085A3487"/>
    <w:rsid w:val="087B3EA7"/>
    <w:rsid w:val="08852948"/>
    <w:rsid w:val="089B03BE"/>
    <w:rsid w:val="08A410B7"/>
    <w:rsid w:val="08FF6B9F"/>
    <w:rsid w:val="0946657C"/>
    <w:rsid w:val="095C18FB"/>
    <w:rsid w:val="09DE4A06"/>
    <w:rsid w:val="0A3C34DB"/>
    <w:rsid w:val="0A821835"/>
    <w:rsid w:val="0A862501"/>
    <w:rsid w:val="0ADA341F"/>
    <w:rsid w:val="0AF0679F"/>
    <w:rsid w:val="0B1D5B16"/>
    <w:rsid w:val="0B330D82"/>
    <w:rsid w:val="0B446AEB"/>
    <w:rsid w:val="0B56577A"/>
    <w:rsid w:val="0B685928"/>
    <w:rsid w:val="0B700E0C"/>
    <w:rsid w:val="0BA94BA0"/>
    <w:rsid w:val="0BEB340A"/>
    <w:rsid w:val="0CC32F3E"/>
    <w:rsid w:val="0CE51C08"/>
    <w:rsid w:val="0CFF1D80"/>
    <w:rsid w:val="0D1D3A97"/>
    <w:rsid w:val="0D3D37F2"/>
    <w:rsid w:val="0D3D57EA"/>
    <w:rsid w:val="0D7C256C"/>
    <w:rsid w:val="0DB00467"/>
    <w:rsid w:val="0DB42481"/>
    <w:rsid w:val="0E082052"/>
    <w:rsid w:val="0E192E1B"/>
    <w:rsid w:val="0E3B3D37"/>
    <w:rsid w:val="0E4C5AB5"/>
    <w:rsid w:val="0E5A03D3"/>
    <w:rsid w:val="0E603C3C"/>
    <w:rsid w:val="0E867A2B"/>
    <w:rsid w:val="0E884F40"/>
    <w:rsid w:val="0E925DBF"/>
    <w:rsid w:val="0EAE0E4B"/>
    <w:rsid w:val="0F670FFA"/>
    <w:rsid w:val="0F6B6D3C"/>
    <w:rsid w:val="0F8120BC"/>
    <w:rsid w:val="0F8E47D8"/>
    <w:rsid w:val="0F9A4F2B"/>
    <w:rsid w:val="0FA67D74"/>
    <w:rsid w:val="0FFC0273"/>
    <w:rsid w:val="10011319"/>
    <w:rsid w:val="100F6863"/>
    <w:rsid w:val="101F6CD7"/>
    <w:rsid w:val="10616161"/>
    <w:rsid w:val="107C30FC"/>
    <w:rsid w:val="10802373"/>
    <w:rsid w:val="108F25B6"/>
    <w:rsid w:val="10B35701"/>
    <w:rsid w:val="10DB57FB"/>
    <w:rsid w:val="10DE1449"/>
    <w:rsid w:val="10F3685C"/>
    <w:rsid w:val="111E1B8C"/>
    <w:rsid w:val="115630D4"/>
    <w:rsid w:val="11901B3B"/>
    <w:rsid w:val="12411DD6"/>
    <w:rsid w:val="127C39BF"/>
    <w:rsid w:val="1288550F"/>
    <w:rsid w:val="12906AB9"/>
    <w:rsid w:val="12BE3627"/>
    <w:rsid w:val="12D416EB"/>
    <w:rsid w:val="12D44BF8"/>
    <w:rsid w:val="12FE3A23"/>
    <w:rsid w:val="13255FEB"/>
    <w:rsid w:val="13347445"/>
    <w:rsid w:val="13743CE5"/>
    <w:rsid w:val="137B1518"/>
    <w:rsid w:val="13C146A3"/>
    <w:rsid w:val="13C22CA3"/>
    <w:rsid w:val="14593E59"/>
    <w:rsid w:val="1461070D"/>
    <w:rsid w:val="150D2643"/>
    <w:rsid w:val="15A8272D"/>
    <w:rsid w:val="15AC59B8"/>
    <w:rsid w:val="15B55C69"/>
    <w:rsid w:val="15DB629E"/>
    <w:rsid w:val="16005D04"/>
    <w:rsid w:val="16276709"/>
    <w:rsid w:val="164825DB"/>
    <w:rsid w:val="168460D8"/>
    <w:rsid w:val="16A42B33"/>
    <w:rsid w:val="16D276A1"/>
    <w:rsid w:val="17083DA8"/>
    <w:rsid w:val="171952CF"/>
    <w:rsid w:val="174D6D27"/>
    <w:rsid w:val="17514A69"/>
    <w:rsid w:val="176C682E"/>
    <w:rsid w:val="179B7A92"/>
    <w:rsid w:val="17B500E2"/>
    <w:rsid w:val="17D26762"/>
    <w:rsid w:val="17DF7DC6"/>
    <w:rsid w:val="182B52BA"/>
    <w:rsid w:val="1867206B"/>
    <w:rsid w:val="186B3EF5"/>
    <w:rsid w:val="18822A00"/>
    <w:rsid w:val="19113420"/>
    <w:rsid w:val="19795C59"/>
    <w:rsid w:val="198253AE"/>
    <w:rsid w:val="19924EC5"/>
    <w:rsid w:val="19A317CF"/>
    <w:rsid w:val="1A3B49D3"/>
    <w:rsid w:val="1A554870"/>
    <w:rsid w:val="1ADC30CF"/>
    <w:rsid w:val="1B087B35"/>
    <w:rsid w:val="1B525A3A"/>
    <w:rsid w:val="1B944F25"/>
    <w:rsid w:val="1BD15BBA"/>
    <w:rsid w:val="1BF60EA2"/>
    <w:rsid w:val="1C0025BA"/>
    <w:rsid w:val="1C2F2E9F"/>
    <w:rsid w:val="1C3F7586"/>
    <w:rsid w:val="1C6568C1"/>
    <w:rsid w:val="1D13631D"/>
    <w:rsid w:val="1D1C78C7"/>
    <w:rsid w:val="1D1E3640"/>
    <w:rsid w:val="1D1E36F4"/>
    <w:rsid w:val="1D244763"/>
    <w:rsid w:val="1D6512B9"/>
    <w:rsid w:val="1DE2466D"/>
    <w:rsid w:val="1DE3194B"/>
    <w:rsid w:val="1DEA3522"/>
    <w:rsid w:val="1DFE3E65"/>
    <w:rsid w:val="1E5310C7"/>
    <w:rsid w:val="1E8A260F"/>
    <w:rsid w:val="1E9E60BA"/>
    <w:rsid w:val="1EA82360"/>
    <w:rsid w:val="1EDF295B"/>
    <w:rsid w:val="1F460C2C"/>
    <w:rsid w:val="1F9E45C4"/>
    <w:rsid w:val="1FA56E5F"/>
    <w:rsid w:val="2004056C"/>
    <w:rsid w:val="20635322"/>
    <w:rsid w:val="207F7298"/>
    <w:rsid w:val="20BD4F1E"/>
    <w:rsid w:val="20C20786"/>
    <w:rsid w:val="20D3029D"/>
    <w:rsid w:val="210D5718"/>
    <w:rsid w:val="213776CE"/>
    <w:rsid w:val="21411C9A"/>
    <w:rsid w:val="217C26E3"/>
    <w:rsid w:val="21911B9B"/>
    <w:rsid w:val="22821F7B"/>
    <w:rsid w:val="22A81D4C"/>
    <w:rsid w:val="22AB7ADF"/>
    <w:rsid w:val="22AF6AE8"/>
    <w:rsid w:val="22F83FEB"/>
    <w:rsid w:val="23052BAC"/>
    <w:rsid w:val="230E7CB2"/>
    <w:rsid w:val="233D40F4"/>
    <w:rsid w:val="23A97579"/>
    <w:rsid w:val="23C245F9"/>
    <w:rsid w:val="23EE3640"/>
    <w:rsid w:val="23F32A04"/>
    <w:rsid w:val="24343749"/>
    <w:rsid w:val="25287637"/>
    <w:rsid w:val="256F266F"/>
    <w:rsid w:val="25A0096A"/>
    <w:rsid w:val="25A247EC"/>
    <w:rsid w:val="260225D5"/>
    <w:rsid w:val="26061132"/>
    <w:rsid w:val="260F3EC0"/>
    <w:rsid w:val="265F25D3"/>
    <w:rsid w:val="268D7140"/>
    <w:rsid w:val="26DB18CE"/>
    <w:rsid w:val="26EC20B9"/>
    <w:rsid w:val="270E64D3"/>
    <w:rsid w:val="274A3283"/>
    <w:rsid w:val="27AE1D78"/>
    <w:rsid w:val="27B01338"/>
    <w:rsid w:val="27B506FD"/>
    <w:rsid w:val="27ED433A"/>
    <w:rsid w:val="28117E8C"/>
    <w:rsid w:val="28274D40"/>
    <w:rsid w:val="2835183D"/>
    <w:rsid w:val="28497097"/>
    <w:rsid w:val="286001FB"/>
    <w:rsid w:val="28702875"/>
    <w:rsid w:val="289A78F2"/>
    <w:rsid w:val="28A27541"/>
    <w:rsid w:val="28C9029D"/>
    <w:rsid w:val="28D728F5"/>
    <w:rsid w:val="28FD7399"/>
    <w:rsid w:val="290B53C2"/>
    <w:rsid w:val="29220014"/>
    <w:rsid w:val="294066EC"/>
    <w:rsid w:val="29455AB0"/>
    <w:rsid w:val="296C33FB"/>
    <w:rsid w:val="29950680"/>
    <w:rsid w:val="2A5306A1"/>
    <w:rsid w:val="2A8D3BB3"/>
    <w:rsid w:val="2AC375D4"/>
    <w:rsid w:val="2AE92B8B"/>
    <w:rsid w:val="2B185933"/>
    <w:rsid w:val="2B2D7144"/>
    <w:rsid w:val="2B485D2C"/>
    <w:rsid w:val="2B8A6344"/>
    <w:rsid w:val="2B97729C"/>
    <w:rsid w:val="2C302A48"/>
    <w:rsid w:val="2C311191"/>
    <w:rsid w:val="2C416D72"/>
    <w:rsid w:val="2C770676"/>
    <w:rsid w:val="2D3130E3"/>
    <w:rsid w:val="2D4744ED"/>
    <w:rsid w:val="2D494239"/>
    <w:rsid w:val="2D6501FC"/>
    <w:rsid w:val="2D855015"/>
    <w:rsid w:val="2DE97352"/>
    <w:rsid w:val="2DEE4968"/>
    <w:rsid w:val="2E3B56D4"/>
    <w:rsid w:val="2E690493"/>
    <w:rsid w:val="2E6C46A3"/>
    <w:rsid w:val="2EA72180"/>
    <w:rsid w:val="2ED83B23"/>
    <w:rsid w:val="2F5C288F"/>
    <w:rsid w:val="2FD50F58"/>
    <w:rsid w:val="2FF65D56"/>
    <w:rsid w:val="30050E7D"/>
    <w:rsid w:val="30204B81"/>
    <w:rsid w:val="302E6C85"/>
    <w:rsid w:val="303B19BB"/>
    <w:rsid w:val="306727B0"/>
    <w:rsid w:val="307F5D4C"/>
    <w:rsid w:val="30B40C26"/>
    <w:rsid w:val="317B30D3"/>
    <w:rsid w:val="3182062E"/>
    <w:rsid w:val="3191026D"/>
    <w:rsid w:val="31BC6B2B"/>
    <w:rsid w:val="31CB1F89"/>
    <w:rsid w:val="31F77B64"/>
    <w:rsid w:val="32145A07"/>
    <w:rsid w:val="32456E89"/>
    <w:rsid w:val="32676A97"/>
    <w:rsid w:val="32821B23"/>
    <w:rsid w:val="32AD4EF5"/>
    <w:rsid w:val="32C51A10"/>
    <w:rsid w:val="33134E71"/>
    <w:rsid w:val="33274478"/>
    <w:rsid w:val="335C05C6"/>
    <w:rsid w:val="33E0223E"/>
    <w:rsid w:val="340A6274"/>
    <w:rsid w:val="340F388A"/>
    <w:rsid w:val="348451A1"/>
    <w:rsid w:val="349C3C37"/>
    <w:rsid w:val="34B955A4"/>
    <w:rsid w:val="34BF311A"/>
    <w:rsid w:val="34C41B45"/>
    <w:rsid w:val="34E24D9D"/>
    <w:rsid w:val="34F347E7"/>
    <w:rsid w:val="34FA62E8"/>
    <w:rsid w:val="34FB1589"/>
    <w:rsid w:val="35493093"/>
    <w:rsid w:val="356203CC"/>
    <w:rsid w:val="35680226"/>
    <w:rsid w:val="35762C1F"/>
    <w:rsid w:val="35AE2C2F"/>
    <w:rsid w:val="35B65600"/>
    <w:rsid w:val="35BC70FA"/>
    <w:rsid w:val="35C52022"/>
    <w:rsid w:val="35E84393"/>
    <w:rsid w:val="35EF72F8"/>
    <w:rsid w:val="35F03248"/>
    <w:rsid w:val="35F73C94"/>
    <w:rsid w:val="36022C46"/>
    <w:rsid w:val="361E2B75"/>
    <w:rsid w:val="365B4B65"/>
    <w:rsid w:val="36C11E26"/>
    <w:rsid w:val="36DA0180"/>
    <w:rsid w:val="370A20E7"/>
    <w:rsid w:val="37896C52"/>
    <w:rsid w:val="37A12A4B"/>
    <w:rsid w:val="38072EB2"/>
    <w:rsid w:val="38207E14"/>
    <w:rsid w:val="38A8605B"/>
    <w:rsid w:val="38C8225A"/>
    <w:rsid w:val="38EB5BB8"/>
    <w:rsid w:val="39197C6B"/>
    <w:rsid w:val="39440937"/>
    <w:rsid w:val="394F799F"/>
    <w:rsid w:val="3950297B"/>
    <w:rsid w:val="399003FF"/>
    <w:rsid w:val="39AB0F94"/>
    <w:rsid w:val="39C90037"/>
    <w:rsid w:val="3A850514"/>
    <w:rsid w:val="3AA23689"/>
    <w:rsid w:val="3AAC27E9"/>
    <w:rsid w:val="3ACA22B9"/>
    <w:rsid w:val="3B4017B6"/>
    <w:rsid w:val="3B566601"/>
    <w:rsid w:val="3BAB02CC"/>
    <w:rsid w:val="3BAB20EB"/>
    <w:rsid w:val="3C0B4511"/>
    <w:rsid w:val="3C37572C"/>
    <w:rsid w:val="3C477110"/>
    <w:rsid w:val="3C4B11D8"/>
    <w:rsid w:val="3C5868E1"/>
    <w:rsid w:val="3C7945AF"/>
    <w:rsid w:val="3C9E57AB"/>
    <w:rsid w:val="3CD3774B"/>
    <w:rsid w:val="3CD45671"/>
    <w:rsid w:val="3CFE26EE"/>
    <w:rsid w:val="3D916EEA"/>
    <w:rsid w:val="3D9F7A2D"/>
    <w:rsid w:val="3DB41ED8"/>
    <w:rsid w:val="3DBB5DC7"/>
    <w:rsid w:val="3DC6320C"/>
    <w:rsid w:val="3DEC0798"/>
    <w:rsid w:val="3E29379B"/>
    <w:rsid w:val="3E38578C"/>
    <w:rsid w:val="3E611D45"/>
    <w:rsid w:val="3E8A0FA4"/>
    <w:rsid w:val="3EB811B3"/>
    <w:rsid w:val="3EC314F9"/>
    <w:rsid w:val="3EFD3E96"/>
    <w:rsid w:val="3F692F5E"/>
    <w:rsid w:val="3F7171A7"/>
    <w:rsid w:val="3FAB3A69"/>
    <w:rsid w:val="3FC41015"/>
    <w:rsid w:val="40112738"/>
    <w:rsid w:val="401B2B58"/>
    <w:rsid w:val="40490124"/>
    <w:rsid w:val="4081166C"/>
    <w:rsid w:val="4090365D"/>
    <w:rsid w:val="40A40D4F"/>
    <w:rsid w:val="40F36293"/>
    <w:rsid w:val="41200E85"/>
    <w:rsid w:val="419B2E13"/>
    <w:rsid w:val="41BB295C"/>
    <w:rsid w:val="42201879"/>
    <w:rsid w:val="42836FF7"/>
    <w:rsid w:val="42BB03ED"/>
    <w:rsid w:val="42C615B8"/>
    <w:rsid w:val="42F064EF"/>
    <w:rsid w:val="430F6FDC"/>
    <w:rsid w:val="43140A2D"/>
    <w:rsid w:val="43284021"/>
    <w:rsid w:val="434E3BCE"/>
    <w:rsid w:val="43E05A11"/>
    <w:rsid w:val="440B0B14"/>
    <w:rsid w:val="442017E7"/>
    <w:rsid w:val="44352E99"/>
    <w:rsid w:val="445A645C"/>
    <w:rsid w:val="44B24E52"/>
    <w:rsid w:val="44BE2E8F"/>
    <w:rsid w:val="44C67F95"/>
    <w:rsid w:val="44FC7513"/>
    <w:rsid w:val="451D0117"/>
    <w:rsid w:val="45284A5E"/>
    <w:rsid w:val="456B6431"/>
    <w:rsid w:val="45C339ED"/>
    <w:rsid w:val="45D13624"/>
    <w:rsid w:val="469B2D5C"/>
    <w:rsid w:val="46E75FA1"/>
    <w:rsid w:val="470B2F02"/>
    <w:rsid w:val="471F573B"/>
    <w:rsid w:val="47372A84"/>
    <w:rsid w:val="47874EA9"/>
    <w:rsid w:val="478F466E"/>
    <w:rsid w:val="47AF4D11"/>
    <w:rsid w:val="47B44676"/>
    <w:rsid w:val="4803701A"/>
    <w:rsid w:val="48301FD6"/>
    <w:rsid w:val="487970CD"/>
    <w:rsid w:val="48945CB4"/>
    <w:rsid w:val="48FA1DA6"/>
    <w:rsid w:val="491512E0"/>
    <w:rsid w:val="49530312"/>
    <w:rsid w:val="498850C5"/>
    <w:rsid w:val="49ED64C9"/>
    <w:rsid w:val="4AF36E2F"/>
    <w:rsid w:val="4B1530DD"/>
    <w:rsid w:val="4B48499E"/>
    <w:rsid w:val="4B531E57"/>
    <w:rsid w:val="4B876D4C"/>
    <w:rsid w:val="4BDB5372"/>
    <w:rsid w:val="4C371778"/>
    <w:rsid w:val="4C481290"/>
    <w:rsid w:val="4C7A32E7"/>
    <w:rsid w:val="4CC0113B"/>
    <w:rsid w:val="4D587BF8"/>
    <w:rsid w:val="4D705A5D"/>
    <w:rsid w:val="4D956757"/>
    <w:rsid w:val="4D974F71"/>
    <w:rsid w:val="4E023E15"/>
    <w:rsid w:val="4E6613AB"/>
    <w:rsid w:val="4EFB083B"/>
    <w:rsid w:val="4F100820"/>
    <w:rsid w:val="4F895E47"/>
    <w:rsid w:val="4FAE3B00"/>
    <w:rsid w:val="4FEB776C"/>
    <w:rsid w:val="50650662"/>
    <w:rsid w:val="50687D01"/>
    <w:rsid w:val="50783E19"/>
    <w:rsid w:val="507A635B"/>
    <w:rsid w:val="507C775A"/>
    <w:rsid w:val="50936641"/>
    <w:rsid w:val="50BD362F"/>
    <w:rsid w:val="51037E7B"/>
    <w:rsid w:val="511856D5"/>
    <w:rsid w:val="514207FD"/>
    <w:rsid w:val="515B7CB7"/>
    <w:rsid w:val="51A108CF"/>
    <w:rsid w:val="51A73905"/>
    <w:rsid w:val="51A77B15"/>
    <w:rsid w:val="51CA355C"/>
    <w:rsid w:val="520619D1"/>
    <w:rsid w:val="524C03C1"/>
    <w:rsid w:val="5257222D"/>
    <w:rsid w:val="52C74869"/>
    <w:rsid w:val="52E37FD9"/>
    <w:rsid w:val="52EC506B"/>
    <w:rsid w:val="53230361"/>
    <w:rsid w:val="532760A3"/>
    <w:rsid w:val="534B614F"/>
    <w:rsid w:val="537D2167"/>
    <w:rsid w:val="53B97094"/>
    <w:rsid w:val="53BC7CB1"/>
    <w:rsid w:val="53DB2795"/>
    <w:rsid w:val="546216A6"/>
    <w:rsid w:val="54896BD1"/>
    <w:rsid w:val="54A454D1"/>
    <w:rsid w:val="54C5443A"/>
    <w:rsid w:val="54DB230D"/>
    <w:rsid w:val="553B5E36"/>
    <w:rsid w:val="558C48E3"/>
    <w:rsid w:val="55944C0E"/>
    <w:rsid w:val="56666EE2"/>
    <w:rsid w:val="56876E58"/>
    <w:rsid w:val="56E878F7"/>
    <w:rsid w:val="570F1328"/>
    <w:rsid w:val="572A377F"/>
    <w:rsid w:val="576D3087"/>
    <w:rsid w:val="578641E7"/>
    <w:rsid w:val="582F1556"/>
    <w:rsid w:val="58647451"/>
    <w:rsid w:val="586E207E"/>
    <w:rsid w:val="58F3077A"/>
    <w:rsid w:val="58F9403E"/>
    <w:rsid w:val="591C7D2C"/>
    <w:rsid w:val="59345172"/>
    <w:rsid w:val="593A06B5"/>
    <w:rsid w:val="594A4899"/>
    <w:rsid w:val="59A50A85"/>
    <w:rsid w:val="59CA59DA"/>
    <w:rsid w:val="59DD395F"/>
    <w:rsid w:val="59EA7E2A"/>
    <w:rsid w:val="5A3D7F5A"/>
    <w:rsid w:val="5A4968FF"/>
    <w:rsid w:val="5A762450"/>
    <w:rsid w:val="5A875679"/>
    <w:rsid w:val="5AA4447D"/>
    <w:rsid w:val="5AC35A6B"/>
    <w:rsid w:val="5AD00DCE"/>
    <w:rsid w:val="5B353327"/>
    <w:rsid w:val="5B4517BC"/>
    <w:rsid w:val="5B647768"/>
    <w:rsid w:val="5B6C2828"/>
    <w:rsid w:val="5B791466"/>
    <w:rsid w:val="5BCA1CC1"/>
    <w:rsid w:val="5BD111F4"/>
    <w:rsid w:val="5BE322FF"/>
    <w:rsid w:val="5C2F421A"/>
    <w:rsid w:val="5C930305"/>
    <w:rsid w:val="5CA2679A"/>
    <w:rsid w:val="5CC46711"/>
    <w:rsid w:val="5CC86EA4"/>
    <w:rsid w:val="5CCD1B92"/>
    <w:rsid w:val="5CE5193F"/>
    <w:rsid w:val="5D153410"/>
    <w:rsid w:val="5D1A0A26"/>
    <w:rsid w:val="5D2071B8"/>
    <w:rsid w:val="5D380EAD"/>
    <w:rsid w:val="5DAC0CF7"/>
    <w:rsid w:val="5DE60909"/>
    <w:rsid w:val="5DFE5C52"/>
    <w:rsid w:val="5E233BB9"/>
    <w:rsid w:val="5E3D507A"/>
    <w:rsid w:val="5E7423B8"/>
    <w:rsid w:val="5E8720EC"/>
    <w:rsid w:val="5EAE07E6"/>
    <w:rsid w:val="5EB029F1"/>
    <w:rsid w:val="5EC24ED2"/>
    <w:rsid w:val="5ED370DF"/>
    <w:rsid w:val="5F243677"/>
    <w:rsid w:val="5F4A16A1"/>
    <w:rsid w:val="5F683CCB"/>
    <w:rsid w:val="5F9C69B7"/>
    <w:rsid w:val="60076EC3"/>
    <w:rsid w:val="604A1623"/>
    <w:rsid w:val="60787F3E"/>
    <w:rsid w:val="60C77F13"/>
    <w:rsid w:val="610712C2"/>
    <w:rsid w:val="6130766C"/>
    <w:rsid w:val="613227E3"/>
    <w:rsid w:val="617A7CE6"/>
    <w:rsid w:val="617F52FC"/>
    <w:rsid w:val="61882403"/>
    <w:rsid w:val="61DC7186"/>
    <w:rsid w:val="621F0086"/>
    <w:rsid w:val="623844F4"/>
    <w:rsid w:val="62766E03"/>
    <w:rsid w:val="62C25A56"/>
    <w:rsid w:val="62D33B51"/>
    <w:rsid w:val="63304B00"/>
    <w:rsid w:val="633A772C"/>
    <w:rsid w:val="63495BC1"/>
    <w:rsid w:val="63531F8D"/>
    <w:rsid w:val="63894210"/>
    <w:rsid w:val="638C227F"/>
    <w:rsid w:val="639826A5"/>
    <w:rsid w:val="639B7CD8"/>
    <w:rsid w:val="63A566C2"/>
    <w:rsid w:val="63BC2837"/>
    <w:rsid w:val="63C17E4E"/>
    <w:rsid w:val="63F01943"/>
    <w:rsid w:val="641C76D4"/>
    <w:rsid w:val="641F5987"/>
    <w:rsid w:val="64256973"/>
    <w:rsid w:val="647E0EAE"/>
    <w:rsid w:val="64901CDF"/>
    <w:rsid w:val="64A84B6A"/>
    <w:rsid w:val="64E102CB"/>
    <w:rsid w:val="64E12312"/>
    <w:rsid w:val="64FE478A"/>
    <w:rsid w:val="65042353"/>
    <w:rsid w:val="65130235"/>
    <w:rsid w:val="651621C9"/>
    <w:rsid w:val="657333CA"/>
    <w:rsid w:val="65817895"/>
    <w:rsid w:val="65A73073"/>
    <w:rsid w:val="65AC4412"/>
    <w:rsid w:val="65C04540"/>
    <w:rsid w:val="65DB74FA"/>
    <w:rsid w:val="6618187B"/>
    <w:rsid w:val="664D59C9"/>
    <w:rsid w:val="665F56FC"/>
    <w:rsid w:val="667123FB"/>
    <w:rsid w:val="66A870A3"/>
    <w:rsid w:val="66AB0941"/>
    <w:rsid w:val="66E225B5"/>
    <w:rsid w:val="66EC3434"/>
    <w:rsid w:val="67582877"/>
    <w:rsid w:val="6773320D"/>
    <w:rsid w:val="679A2E90"/>
    <w:rsid w:val="67E16926"/>
    <w:rsid w:val="67E934CF"/>
    <w:rsid w:val="68237620"/>
    <w:rsid w:val="683A1507"/>
    <w:rsid w:val="68C61A62"/>
    <w:rsid w:val="6945507D"/>
    <w:rsid w:val="69B35505"/>
    <w:rsid w:val="69B705EC"/>
    <w:rsid w:val="69DA57C5"/>
    <w:rsid w:val="6A1231B1"/>
    <w:rsid w:val="6A453984"/>
    <w:rsid w:val="6A633A0D"/>
    <w:rsid w:val="6A7C1BB2"/>
    <w:rsid w:val="6AB6082A"/>
    <w:rsid w:val="6AD04767"/>
    <w:rsid w:val="6AD30F68"/>
    <w:rsid w:val="6AF059AE"/>
    <w:rsid w:val="6B182A98"/>
    <w:rsid w:val="6B3233DF"/>
    <w:rsid w:val="6B442F1F"/>
    <w:rsid w:val="6B5477F9"/>
    <w:rsid w:val="6B713F07"/>
    <w:rsid w:val="6BB81B36"/>
    <w:rsid w:val="6C3A36A9"/>
    <w:rsid w:val="6C4E249B"/>
    <w:rsid w:val="6C5F1FB2"/>
    <w:rsid w:val="6C9F6852"/>
    <w:rsid w:val="6CC30793"/>
    <w:rsid w:val="6D415210"/>
    <w:rsid w:val="6E39717B"/>
    <w:rsid w:val="6E4771A1"/>
    <w:rsid w:val="6E5865B5"/>
    <w:rsid w:val="6EA77C40"/>
    <w:rsid w:val="6EAE7644"/>
    <w:rsid w:val="6ED529FF"/>
    <w:rsid w:val="6F017D74"/>
    <w:rsid w:val="6F885CC3"/>
    <w:rsid w:val="6F963F3C"/>
    <w:rsid w:val="6FCA2ACC"/>
    <w:rsid w:val="7000585A"/>
    <w:rsid w:val="700F08C0"/>
    <w:rsid w:val="70324EB7"/>
    <w:rsid w:val="704F0ED7"/>
    <w:rsid w:val="705B714E"/>
    <w:rsid w:val="70671D7D"/>
    <w:rsid w:val="706F2E94"/>
    <w:rsid w:val="70CB79B0"/>
    <w:rsid w:val="70FA499F"/>
    <w:rsid w:val="711A294B"/>
    <w:rsid w:val="71227C4C"/>
    <w:rsid w:val="713E0F09"/>
    <w:rsid w:val="71933005"/>
    <w:rsid w:val="71B776BE"/>
    <w:rsid w:val="71B96608"/>
    <w:rsid w:val="71BE5037"/>
    <w:rsid w:val="71D15700"/>
    <w:rsid w:val="71D34078"/>
    <w:rsid w:val="71D62D16"/>
    <w:rsid w:val="7242215A"/>
    <w:rsid w:val="72641BC3"/>
    <w:rsid w:val="72693B8A"/>
    <w:rsid w:val="72850298"/>
    <w:rsid w:val="729F75AC"/>
    <w:rsid w:val="72BA2638"/>
    <w:rsid w:val="72CB305D"/>
    <w:rsid w:val="72DA44FF"/>
    <w:rsid w:val="72EB15F3"/>
    <w:rsid w:val="735843A0"/>
    <w:rsid w:val="737E18B7"/>
    <w:rsid w:val="73AD7AA7"/>
    <w:rsid w:val="73E01848"/>
    <w:rsid w:val="740718AD"/>
    <w:rsid w:val="740A4FF3"/>
    <w:rsid w:val="742762A4"/>
    <w:rsid w:val="748A1028"/>
    <w:rsid w:val="74A7099A"/>
    <w:rsid w:val="74AA048A"/>
    <w:rsid w:val="74D3178F"/>
    <w:rsid w:val="74E22F5B"/>
    <w:rsid w:val="74E60521"/>
    <w:rsid w:val="75377F70"/>
    <w:rsid w:val="75383CE8"/>
    <w:rsid w:val="75821800"/>
    <w:rsid w:val="759C7879"/>
    <w:rsid w:val="75DC28C5"/>
    <w:rsid w:val="75E74CB4"/>
    <w:rsid w:val="75EB2391"/>
    <w:rsid w:val="765D3A06"/>
    <w:rsid w:val="767D0110"/>
    <w:rsid w:val="76EE18F3"/>
    <w:rsid w:val="77037899"/>
    <w:rsid w:val="771147F0"/>
    <w:rsid w:val="775A1CF3"/>
    <w:rsid w:val="775D17E4"/>
    <w:rsid w:val="77AB445A"/>
    <w:rsid w:val="77AE3DED"/>
    <w:rsid w:val="77B51620"/>
    <w:rsid w:val="77D01FB6"/>
    <w:rsid w:val="77DD04B7"/>
    <w:rsid w:val="7877045F"/>
    <w:rsid w:val="789F4706"/>
    <w:rsid w:val="78A51694"/>
    <w:rsid w:val="78A84CE1"/>
    <w:rsid w:val="78DF4BA6"/>
    <w:rsid w:val="78F32400"/>
    <w:rsid w:val="78F36E09"/>
    <w:rsid w:val="78F41CD4"/>
    <w:rsid w:val="7901354B"/>
    <w:rsid w:val="791A5BDE"/>
    <w:rsid w:val="792570E7"/>
    <w:rsid w:val="79752E15"/>
    <w:rsid w:val="7A2F16EC"/>
    <w:rsid w:val="7B0A3A31"/>
    <w:rsid w:val="7B537186"/>
    <w:rsid w:val="7B560A24"/>
    <w:rsid w:val="7BB52A0C"/>
    <w:rsid w:val="7BD83B2F"/>
    <w:rsid w:val="7C222C7E"/>
    <w:rsid w:val="7C3C447A"/>
    <w:rsid w:val="7C6A0C2B"/>
    <w:rsid w:val="7C6F6241"/>
    <w:rsid w:val="7C851103"/>
    <w:rsid w:val="7D472D1A"/>
    <w:rsid w:val="7D5F41FC"/>
    <w:rsid w:val="7E024E93"/>
    <w:rsid w:val="7E5C27F5"/>
    <w:rsid w:val="7E6101EB"/>
    <w:rsid w:val="7E955D07"/>
    <w:rsid w:val="7EDE76AE"/>
    <w:rsid w:val="7EE97F06"/>
    <w:rsid w:val="7FC41FE6"/>
    <w:rsid w:val="7FDD7966"/>
    <w:rsid w:val="7FE24F7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7"/>
    <w:autoRedefine/>
    <w:qFormat/>
    <w:uiPriority w:val="0"/>
    <w:pPr>
      <w:keepNext/>
      <w:keepLines/>
      <w:spacing w:before="340" w:after="330" w:line="576" w:lineRule="auto"/>
      <w:outlineLvl w:val="0"/>
    </w:pPr>
    <w:rPr>
      <w:rFonts w:ascii="Times New Roman" w:hAnsi="Times New Roman"/>
      <w:b/>
      <w:kern w:val="44"/>
      <w:sz w:val="44"/>
      <w:szCs w:val="20"/>
    </w:rPr>
  </w:style>
  <w:style w:type="paragraph" w:styleId="4">
    <w:name w:val="heading 3"/>
    <w:basedOn w:val="1"/>
    <w:next w:val="1"/>
    <w:autoRedefine/>
    <w:qFormat/>
    <w:uiPriority w:val="0"/>
    <w:pPr>
      <w:keepNext/>
      <w:keepLines/>
      <w:autoSpaceDE w:val="0"/>
      <w:autoSpaceDN w:val="0"/>
      <w:adjustRightInd w:val="0"/>
      <w:spacing w:before="260" w:after="260" w:line="416" w:lineRule="atLeast"/>
      <w:jc w:val="left"/>
      <w:outlineLvl w:val="2"/>
    </w:pPr>
    <w:rPr>
      <w:rFonts w:hint="eastAsia" w:ascii="宋体" w:hAnsi="宋体"/>
      <w:b/>
      <w:sz w:val="32"/>
      <w:szCs w:val="20"/>
    </w:rPr>
  </w:style>
  <w:style w:type="paragraph" w:styleId="5">
    <w:name w:val="heading 4"/>
    <w:basedOn w:val="1"/>
    <w:next w:val="1"/>
    <w:autoRedefine/>
    <w:qFormat/>
    <w:uiPriority w:val="0"/>
    <w:pPr>
      <w:keepNext/>
      <w:jc w:val="center"/>
      <w:outlineLvl w:val="3"/>
    </w:pPr>
    <w:rPr>
      <w:rFonts w:eastAsia="新宋体"/>
      <w:kern w:val="0"/>
      <w:sz w:val="30"/>
      <w:szCs w:val="21"/>
    </w:rPr>
  </w:style>
  <w:style w:type="paragraph" w:styleId="6">
    <w:name w:val="heading 6"/>
    <w:basedOn w:val="1"/>
    <w:next w:val="7"/>
    <w:autoRedefine/>
    <w:qFormat/>
    <w:uiPriority w:val="0"/>
    <w:pPr>
      <w:keepNext/>
      <w:spacing w:line="500" w:lineRule="exact"/>
      <w:jc w:val="center"/>
      <w:outlineLvl w:val="5"/>
    </w:pPr>
    <w:rPr>
      <w:b/>
      <w:kern w:val="0"/>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rPr>
      <w:rFonts w:ascii="Times New Roman" w:hAnsi="Times New Roman"/>
      <w:szCs w:val="20"/>
    </w:rPr>
  </w:style>
  <w:style w:type="paragraph" w:styleId="7">
    <w:name w:val="Normal Indent"/>
    <w:basedOn w:val="1"/>
    <w:autoRedefine/>
    <w:qFormat/>
    <w:uiPriority w:val="0"/>
    <w:pPr>
      <w:ind w:firstLine="420"/>
    </w:pPr>
    <w:rPr>
      <w:kern w:val="0"/>
      <w:sz w:val="20"/>
      <w:szCs w:val="20"/>
    </w:rPr>
  </w:style>
  <w:style w:type="paragraph" w:styleId="8">
    <w:name w:val="Document Map"/>
    <w:basedOn w:val="1"/>
    <w:link w:val="38"/>
    <w:autoRedefine/>
    <w:semiHidden/>
    <w:unhideWhenUsed/>
    <w:qFormat/>
    <w:uiPriority w:val="0"/>
    <w:rPr>
      <w:rFonts w:ascii="Microsoft YaHei UI" w:eastAsia="Microsoft YaHei UI"/>
      <w:sz w:val="18"/>
      <w:szCs w:val="18"/>
    </w:rPr>
  </w:style>
  <w:style w:type="paragraph" w:styleId="9">
    <w:name w:val="Body Text Indent"/>
    <w:basedOn w:val="1"/>
    <w:autoRedefine/>
    <w:qFormat/>
    <w:uiPriority w:val="0"/>
    <w:pPr>
      <w:ind w:left="420" w:leftChars="200"/>
    </w:pPr>
  </w:style>
  <w:style w:type="paragraph" w:styleId="10">
    <w:name w:val="Plain Text"/>
    <w:basedOn w:val="1"/>
    <w:next w:val="1"/>
    <w:autoRedefine/>
    <w:qFormat/>
    <w:uiPriority w:val="0"/>
    <w:rPr>
      <w:rFonts w:hint="eastAsia" w:ascii="宋体" w:hAnsi="Courier New"/>
      <w:szCs w:val="20"/>
    </w:rPr>
  </w:style>
  <w:style w:type="paragraph" w:styleId="11">
    <w:name w:val="footer"/>
    <w:basedOn w:val="1"/>
    <w:link w:val="35"/>
    <w:autoRedefine/>
    <w:qFormat/>
    <w:uiPriority w:val="99"/>
    <w:pPr>
      <w:tabs>
        <w:tab w:val="center" w:pos="4153"/>
        <w:tab w:val="right" w:pos="8306"/>
      </w:tabs>
      <w:snapToGrid w:val="0"/>
      <w:jc w:val="left"/>
    </w:pPr>
    <w:rPr>
      <w:sz w:val="18"/>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Normal (Web)"/>
    <w:basedOn w:val="1"/>
    <w:autoRedefine/>
    <w:qFormat/>
    <w:uiPriority w:val="0"/>
    <w:pPr>
      <w:widowControl/>
      <w:spacing w:before="100" w:beforeAutospacing="1" w:after="100" w:afterAutospacing="1"/>
      <w:jc w:val="left"/>
    </w:pPr>
    <w:rPr>
      <w:rFonts w:hint="eastAsia" w:ascii="Arial Unicode MS" w:hAnsi="Arial Unicode MS"/>
      <w:kern w:val="0"/>
      <w:sz w:val="24"/>
      <w:szCs w:val="20"/>
    </w:rPr>
  </w:style>
  <w:style w:type="paragraph" w:styleId="14">
    <w:name w:val="Body Text First Indent 2"/>
    <w:basedOn w:val="9"/>
    <w:next w:val="1"/>
    <w:autoRedefine/>
    <w:qFormat/>
    <w:uiPriority w:val="0"/>
    <w:pPr>
      <w:spacing w:after="120"/>
      <w:ind w:firstLine="420" w:firstLineChars="200"/>
    </w:pPr>
    <w:rPr>
      <w:rFonts w:ascii="Times New Roman" w:hAnsi="Times New Roman"/>
      <w:szCs w:val="20"/>
    </w:rPr>
  </w:style>
  <w:style w:type="character" w:styleId="17">
    <w:name w:val="FollowedHyperlink"/>
    <w:autoRedefine/>
    <w:qFormat/>
    <w:uiPriority w:val="0"/>
    <w:rPr>
      <w:color w:val="800080"/>
      <w:u w:val="none"/>
    </w:rPr>
  </w:style>
  <w:style w:type="character" w:styleId="18">
    <w:name w:val="HTML Definition"/>
    <w:basedOn w:val="16"/>
    <w:autoRedefine/>
    <w:qFormat/>
    <w:uiPriority w:val="0"/>
  </w:style>
  <w:style w:type="character" w:styleId="19">
    <w:name w:val="HTML Typewriter"/>
    <w:basedOn w:val="16"/>
    <w:autoRedefine/>
    <w:qFormat/>
    <w:uiPriority w:val="0"/>
    <w:rPr>
      <w:rFonts w:hint="default" w:ascii="monospace" w:hAnsi="monospace" w:eastAsia="monospace" w:cs="monospace"/>
      <w:sz w:val="20"/>
    </w:rPr>
  </w:style>
  <w:style w:type="character" w:styleId="20">
    <w:name w:val="HTML Acronym"/>
    <w:basedOn w:val="16"/>
    <w:autoRedefine/>
    <w:qFormat/>
    <w:uiPriority w:val="0"/>
  </w:style>
  <w:style w:type="character" w:styleId="21">
    <w:name w:val="HTML Variable"/>
    <w:basedOn w:val="16"/>
    <w:autoRedefine/>
    <w:qFormat/>
    <w:uiPriority w:val="0"/>
  </w:style>
  <w:style w:type="character" w:styleId="22">
    <w:name w:val="Hyperlink"/>
    <w:basedOn w:val="16"/>
    <w:autoRedefine/>
    <w:qFormat/>
    <w:uiPriority w:val="0"/>
    <w:rPr>
      <w:color w:val="0000FF"/>
      <w:u w:val="none"/>
    </w:rPr>
  </w:style>
  <w:style w:type="character" w:styleId="23">
    <w:name w:val="HTML Code"/>
    <w:basedOn w:val="16"/>
    <w:autoRedefine/>
    <w:qFormat/>
    <w:uiPriority w:val="0"/>
    <w:rPr>
      <w:rFonts w:ascii="monospace" w:hAnsi="monospace" w:eastAsia="monospace" w:cs="monospace"/>
      <w:sz w:val="20"/>
    </w:rPr>
  </w:style>
  <w:style w:type="character" w:styleId="24">
    <w:name w:val="HTML Cite"/>
    <w:basedOn w:val="16"/>
    <w:autoRedefine/>
    <w:qFormat/>
    <w:uiPriority w:val="0"/>
  </w:style>
  <w:style w:type="character" w:styleId="25">
    <w:name w:val="HTML Keyboard"/>
    <w:basedOn w:val="16"/>
    <w:autoRedefine/>
    <w:qFormat/>
    <w:uiPriority w:val="0"/>
    <w:rPr>
      <w:rFonts w:hint="default" w:ascii="monospace" w:hAnsi="monospace" w:eastAsia="monospace" w:cs="monospace"/>
      <w:sz w:val="20"/>
    </w:rPr>
  </w:style>
  <w:style w:type="character" w:styleId="26">
    <w:name w:val="HTML Sample"/>
    <w:basedOn w:val="16"/>
    <w:autoRedefine/>
    <w:qFormat/>
    <w:uiPriority w:val="0"/>
    <w:rPr>
      <w:rFonts w:hint="default" w:ascii="monospace" w:hAnsi="monospace" w:eastAsia="monospace" w:cs="monospace"/>
    </w:rPr>
  </w:style>
  <w:style w:type="paragraph" w:customStyle="1" w:styleId="27">
    <w:name w:val="二级目录"/>
    <w:basedOn w:val="1"/>
    <w:next w:val="1"/>
    <w:autoRedefine/>
    <w:qFormat/>
    <w:uiPriority w:val="0"/>
    <w:pPr>
      <w:widowControl/>
      <w:tabs>
        <w:tab w:val="left" w:pos="720"/>
      </w:tabs>
      <w:ind w:left="720" w:hanging="720"/>
      <w:jc w:val="left"/>
      <w:outlineLvl w:val="1"/>
    </w:pPr>
    <w:rPr>
      <w:rFonts w:ascii="Times New Roman" w:hAnsi="Times New Roman"/>
      <w:b/>
      <w:sz w:val="30"/>
      <w:szCs w:val="28"/>
    </w:rPr>
  </w:style>
  <w:style w:type="paragraph" w:customStyle="1" w:styleId="28">
    <w:name w:val="首行缩进"/>
    <w:basedOn w:val="1"/>
    <w:autoRedefine/>
    <w:qFormat/>
    <w:uiPriority w:val="0"/>
    <w:pPr>
      <w:spacing w:line="360" w:lineRule="auto"/>
      <w:ind w:firstLine="480" w:firstLineChars="200"/>
    </w:pPr>
    <w:rPr>
      <w:rFonts w:ascii="Times New Roman" w:hAnsi="Times New Roman"/>
      <w:szCs w:val="20"/>
    </w:rPr>
  </w:style>
  <w:style w:type="character" w:customStyle="1" w:styleId="29">
    <w:name w:val="first-child"/>
    <w:basedOn w:val="16"/>
    <w:autoRedefine/>
    <w:qFormat/>
    <w:uiPriority w:val="0"/>
  </w:style>
  <w:style w:type="character" w:customStyle="1" w:styleId="30">
    <w:name w:val="hover2"/>
    <w:basedOn w:val="16"/>
    <w:autoRedefine/>
    <w:qFormat/>
    <w:uiPriority w:val="0"/>
    <w:rPr>
      <w:color w:val="5FB878"/>
    </w:rPr>
  </w:style>
  <w:style w:type="character" w:customStyle="1" w:styleId="31">
    <w:name w:val="hover3"/>
    <w:basedOn w:val="16"/>
    <w:autoRedefine/>
    <w:qFormat/>
    <w:uiPriority w:val="0"/>
    <w:rPr>
      <w:color w:val="5FB878"/>
    </w:rPr>
  </w:style>
  <w:style w:type="character" w:customStyle="1" w:styleId="32">
    <w:name w:val="hover4"/>
    <w:basedOn w:val="16"/>
    <w:autoRedefine/>
    <w:qFormat/>
    <w:uiPriority w:val="0"/>
    <w:rPr>
      <w:color w:val="FFFFFF"/>
    </w:rPr>
  </w:style>
  <w:style w:type="character" w:customStyle="1" w:styleId="33">
    <w:name w:val="layui-this"/>
    <w:basedOn w:val="16"/>
    <w:autoRedefine/>
    <w:qFormat/>
    <w:uiPriority w:val="0"/>
    <w:rPr>
      <w:bdr w:val="single" w:color="EEEEEE" w:sz="6" w:space="0"/>
      <w:shd w:val="clear" w:color="auto" w:fill="FFFFFF"/>
    </w:rPr>
  </w:style>
  <w:style w:type="paragraph" w:customStyle="1" w:styleId="34">
    <w:name w:val="正文缩进2格"/>
    <w:basedOn w:val="1"/>
    <w:autoRedefine/>
    <w:qFormat/>
    <w:uiPriority w:val="0"/>
    <w:pPr>
      <w:spacing w:line="600" w:lineRule="exact"/>
      <w:ind w:firstLine="639" w:firstLineChars="206"/>
    </w:pPr>
    <w:rPr>
      <w:rFonts w:ascii="仿宋_GB2312" w:hAnsi="宋体" w:eastAsia="仿宋_GB2312"/>
      <w:sz w:val="31"/>
      <w:szCs w:val="28"/>
    </w:rPr>
  </w:style>
  <w:style w:type="character" w:customStyle="1" w:styleId="35">
    <w:name w:val="页脚 字符"/>
    <w:basedOn w:val="16"/>
    <w:link w:val="11"/>
    <w:autoRedefine/>
    <w:qFormat/>
    <w:uiPriority w:val="99"/>
    <w:rPr>
      <w:rFonts w:ascii="Calibri" w:hAnsi="Calibri"/>
      <w:kern w:val="2"/>
      <w:sz w:val="18"/>
      <w:szCs w:val="24"/>
    </w:rPr>
  </w:style>
  <w:style w:type="paragraph" w:styleId="36">
    <w:name w:val="List Paragraph"/>
    <w:basedOn w:val="1"/>
    <w:autoRedefine/>
    <w:qFormat/>
    <w:uiPriority w:val="99"/>
    <w:pPr>
      <w:ind w:firstLine="420" w:firstLineChars="200"/>
    </w:pPr>
  </w:style>
  <w:style w:type="character" w:customStyle="1" w:styleId="37">
    <w:name w:val="标题 1 字符"/>
    <w:link w:val="3"/>
    <w:autoRedefine/>
    <w:qFormat/>
    <w:uiPriority w:val="0"/>
    <w:rPr>
      <w:b/>
      <w:kern w:val="44"/>
      <w:sz w:val="44"/>
    </w:rPr>
  </w:style>
  <w:style w:type="character" w:customStyle="1" w:styleId="38">
    <w:name w:val="文档结构图 字符"/>
    <w:basedOn w:val="16"/>
    <w:link w:val="8"/>
    <w:autoRedefine/>
    <w:semiHidden/>
    <w:qFormat/>
    <w:uiPriority w:val="0"/>
    <w:rPr>
      <w:rFonts w:ascii="Microsoft YaHei UI" w:hAnsi="Calibri" w:eastAsia="Microsoft YaHei UI"/>
      <w:kern w:val="2"/>
      <w:sz w:val="18"/>
      <w:szCs w:val="18"/>
    </w:rPr>
  </w:style>
  <w:style w:type="paragraph" w:customStyle="1" w:styleId="39">
    <w:name w:val="普通正文"/>
    <w:basedOn w:val="1"/>
    <w:autoRedefine/>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40">
    <w:name w:val="font51"/>
    <w:basedOn w:val="16"/>
    <w:qFormat/>
    <w:uiPriority w:val="0"/>
    <w:rPr>
      <w:rFonts w:hint="eastAsia" w:ascii="宋体" w:hAnsi="宋体" w:eastAsia="宋体" w:cs="宋体"/>
      <w:color w:val="000000"/>
      <w:sz w:val="20"/>
      <w:szCs w:val="20"/>
      <w:u w:val="none"/>
    </w:rPr>
  </w:style>
  <w:style w:type="character" w:customStyle="1" w:styleId="41">
    <w:name w:val="font81"/>
    <w:basedOn w:val="16"/>
    <w:qFormat/>
    <w:uiPriority w:val="0"/>
    <w:rPr>
      <w:rFonts w:ascii="Arial" w:hAnsi="Arial" w:cs="Arial"/>
      <w:color w:val="000000"/>
      <w:sz w:val="20"/>
      <w:szCs w:val="20"/>
      <w:u w:val="none"/>
    </w:rPr>
  </w:style>
  <w:style w:type="character" w:customStyle="1" w:styleId="42">
    <w:name w:val="font21"/>
    <w:basedOn w:val="16"/>
    <w:qFormat/>
    <w:uiPriority w:val="0"/>
    <w:rPr>
      <w:rFonts w:hint="eastAsia" w:ascii="宋体" w:hAnsi="宋体" w:eastAsia="宋体" w:cs="宋体"/>
      <w:color w:val="000000"/>
      <w:sz w:val="20"/>
      <w:szCs w:val="20"/>
      <w:u w:val="none"/>
    </w:rPr>
  </w:style>
  <w:style w:type="character" w:customStyle="1" w:styleId="43">
    <w:name w:val="font91"/>
    <w:basedOn w:val="16"/>
    <w:qFormat/>
    <w:uiPriority w:val="0"/>
    <w:rPr>
      <w:rFonts w:hint="eastAsia" w:ascii="宋体" w:hAnsi="宋体" w:eastAsia="宋体" w:cs="宋体"/>
      <w:color w:val="000000"/>
      <w:sz w:val="20"/>
      <w:szCs w:val="20"/>
      <w:u w:val="none"/>
      <w:vertAlign w:val="superscript"/>
    </w:rPr>
  </w:style>
  <w:style w:type="character" w:customStyle="1" w:styleId="44">
    <w:name w:val="font101"/>
    <w:basedOn w:val="16"/>
    <w:qFormat/>
    <w:uiPriority w:val="0"/>
    <w:rPr>
      <w:rFonts w:hint="eastAsia" w:ascii="宋体" w:hAnsi="宋体" w:eastAsia="宋体" w:cs="宋体"/>
      <w:color w:val="000000"/>
      <w:sz w:val="20"/>
      <w:szCs w:val="20"/>
      <w:u w:val="none"/>
      <w:vertAlign w:val="superscript"/>
    </w:rPr>
  </w:style>
  <w:style w:type="character" w:customStyle="1" w:styleId="45">
    <w:name w:val="font61"/>
    <w:basedOn w:val="16"/>
    <w:qFormat/>
    <w:uiPriority w:val="0"/>
    <w:rPr>
      <w:rFonts w:hint="eastAsia" w:ascii="宋体" w:hAnsi="宋体" w:eastAsia="宋体" w:cs="宋体"/>
      <w:color w:val="000000"/>
      <w:sz w:val="20"/>
      <w:szCs w:val="20"/>
      <w:u w:val="none"/>
    </w:rPr>
  </w:style>
  <w:style w:type="character" w:customStyle="1" w:styleId="46">
    <w:name w:val="font112"/>
    <w:basedOn w:val="16"/>
    <w:qFormat/>
    <w:uiPriority w:val="0"/>
    <w:rPr>
      <w:rFonts w:hint="eastAsia" w:ascii="宋体" w:hAnsi="宋体" w:eastAsia="宋体" w:cs="宋体"/>
      <w:color w:val="000000"/>
      <w:sz w:val="20"/>
      <w:szCs w:val="20"/>
      <w:u w:val="none"/>
      <w:vertAlign w:val="superscript"/>
    </w:rPr>
  </w:style>
  <w:style w:type="paragraph" w:customStyle="1" w:styleId="47">
    <w:name w:val="段"/>
    <w:basedOn w:val="1"/>
    <w:qFormat/>
    <w:uiPriority w:val="0"/>
    <w:pPr>
      <w:widowControl/>
      <w:autoSpaceDE w:val="0"/>
      <w:autoSpaceDN w:val="0"/>
      <w:ind w:firstLine="200" w:firstLineChars="200"/>
    </w:pPr>
    <w:rPr>
      <w:rFonts w:hint="eastAsia" w:ascii="宋体" w:hAnsi="Times New Roman"/>
      <w:kern w:val="0"/>
      <w:szCs w:val="21"/>
    </w:rPr>
  </w:style>
  <w:style w:type="paragraph" w:customStyle="1" w:styleId="48">
    <w:name w:val="Table Paragraph"/>
    <w:basedOn w:val="1"/>
    <w:qFormat/>
    <w:uiPriority w:val="0"/>
    <w:pPr>
      <w:autoSpaceDE w:val="0"/>
      <w:autoSpaceDN w:val="0"/>
      <w:spacing w:before="38"/>
      <w:jc w:val="left"/>
    </w:pPr>
    <w:rPr>
      <w:rFonts w:hint="eastAsia" w:ascii="宋体" w:hAnsi="宋体"/>
      <w:kern w:val="0"/>
      <w:sz w:val="22"/>
      <w:szCs w:val="22"/>
    </w:rPr>
  </w:style>
  <w:style w:type="character" w:customStyle="1" w:styleId="49">
    <w:name w:val="NormalCharacter"/>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47</Pages>
  <Words>14079</Words>
  <Characters>15617</Characters>
  <Lines>860</Lines>
  <Paragraphs>853</Paragraphs>
  <TotalTime>3</TotalTime>
  <ScaleCrop>false</ScaleCrop>
  <LinksUpToDate>false</LinksUpToDate>
  <CharactersWithSpaces>17242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2021-11-08T09:01:00Z</dcterms:created>
  <dc:creator>Administrator</dc:creator>
  <cp:lastModifiedBy>晨西</cp:lastModifiedBy>
  <cp:lastPrinted>2024-02-06T02:23:00Z</cp:lastPrinted>
  <dcterms:modified xsi:type="dcterms:W3CDTF">2025-12-23T03:22:06Z</dcterms:modified>
  <cp:revision>170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0009D4F20FC8432F940F8F57663DEC5F_13</vt:lpwstr>
  </property>
  <property fmtid="{D5CDD505-2E9C-101B-9397-08002B2CF9AE}" pid="4" name="KSOTemplateDocerSaveRecord">
    <vt:lpwstr>eyJoZGlkIjoiMzVkN2E3MzAyNjU0NjQ4ODE5YWUwZjJiN2U0MDhiMjAiLCJ1c2VySWQiOiI1MTkyNzEzMTgifQ==</vt:lpwstr>
  </property>
</Properties>
</file>